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824F8" w14:paraId="5E76AD9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141E3C8" w14:textId="77777777" w:rsidR="00F824F8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20"/>
                <w:sz w:val="16"/>
                <w:szCs w:val="16"/>
              </w:rPr>
              <w:t>FROM COST CENTRE TO VALUE ENGINE · PMO-MVM™</w:t>
            </w:r>
          </w:p>
          <w:p w14:paraId="77CC29DF" w14:textId="77777777" w:rsidR="00F824F8" w:rsidRDefault="00000000">
            <w:pPr>
              <w:spacing w:after="160"/>
            </w:pPr>
            <w:r>
              <w:rPr>
                <w:rFonts w:ascii="Arial" w:eastAsia="Arial" w:hAnsi="Arial" w:cs="Arial"/>
                <w:color w:val="9FB0C8"/>
                <w:sz w:val="18"/>
                <w:szCs w:val="18"/>
              </w:rPr>
              <w:t>Chapter 8 Action Tool</w:t>
            </w:r>
          </w:p>
          <w:p w14:paraId="6E6F5562" w14:textId="77777777" w:rsidR="00F824F8" w:rsidRDefault="00000000">
            <w:pPr>
              <w:spacing w:after="120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PMO Value Operating System Quick-Reference Card</w:t>
            </w:r>
          </w:p>
          <w:p w14:paraId="402B76BB" w14:textId="77777777" w:rsidR="00F824F8" w:rsidRDefault="00000000">
            <w:r>
              <w:rPr>
                <w:rFonts w:ascii="Georgia" w:eastAsia="Georgia" w:hAnsi="Georgia" w:cs="Georgia"/>
                <w:i/>
                <w:iCs/>
                <w:color w:val="FFF6E6"/>
              </w:rPr>
              <w:t>A one-page distillation of Step 5's complete operating system — for the desk or wall. Not a substitute for the chapter; a working reference once you've read it.</w:t>
            </w:r>
          </w:p>
        </w:tc>
      </w:tr>
    </w:tbl>
    <w:p w14:paraId="09EE428A" w14:textId="77777777" w:rsidR="00F824F8" w:rsidRDefault="00F824F8">
      <w:pPr>
        <w:spacing w:after="180"/>
      </w:pPr>
    </w:p>
    <w:p w14:paraId="147B62F4" w14:textId="77777777" w:rsidR="00F824F8" w:rsidRDefault="00000000">
      <w:pPr>
        <w:pBdr>
          <w:bottom w:val="single" w:sz="6" w:space="4" w:color="C9921A"/>
        </w:pBdr>
        <w:spacing w:before="280" w:after="100"/>
      </w:pPr>
      <w:r>
        <w:rPr>
          <w:rFonts w:ascii="Arial" w:eastAsia="Arial" w:hAnsi="Arial" w:cs="Arial"/>
          <w:b/>
          <w:bCs/>
          <w:color w:val="0A1628"/>
          <w:sz w:val="22"/>
          <w:szCs w:val="22"/>
        </w:rPr>
        <w:t>The Three-Phase Launch Sequence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100"/>
        <w:gridCol w:w="6350"/>
      </w:tblGrid>
      <w:tr w:rsidR="00F824F8" w14:paraId="65F84F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C8FF4AB" w14:textId="77777777" w:rsidR="00F824F8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Phase</w:t>
            </w:r>
          </w:p>
        </w:tc>
        <w:tc>
          <w:tcPr>
            <w:tcW w:w="1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9AA2FA5" w14:textId="77777777" w:rsidR="00F824F8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Days</w:t>
            </w:r>
          </w:p>
        </w:tc>
        <w:tc>
          <w:tcPr>
            <w:tcW w:w="6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29985" w14:textId="77777777" w:rsidR="00F824F8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Core Objective</w:t>
            </w:r>
          </w:p>
        </w:tc>
      </w:tr>
      <w:tr w:rsidR="00F824F8" w14:paraId="75B710C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203F143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1 — Ignite</w:t>
            </w:r>
          </w:p>
        </w:tc>
        <w:tc>
          <w:tcPr>
            <w:tcW w:w="1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C4B499D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1–30</w:t>
            </w:r>
          </w:p>
        </w:tc>
        <w:tc>
          <w:tcPr>
            <w:tcW w:w="6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F5407AC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Establish proof of relevance: launch 1–2 visible services, set baselines in Week 1, publish the first EVP™ in Week 1, complete the first sponsor one-to-one before Day 30.</w:t>
            </w:r>
          </w:p>
        </w:tc>
      </w:tr>
      <w:tr w:rsidR="00F824F8" w14:paraId="1EC341F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B0C4E9C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2 — Build</w:t>
            </w:r>
          </w:p>
        </w:tc>
        <w:tc>
          <w:tcPr>
            <w:tcW w:w="1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2306ABF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31–60</w:t>
            </w:r>
          </w:p>
        </w:tc>
        <w:tc>
          <w:tcPr>
            <w:tcW w:w="6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7C0471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 xml:space="preserve">Add capacity only after Phase 1 has produced evidence. Complete portfolio </w:t>
            </w:r>
            <w:proofErr w:type="spellStart"/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prioritisation</w:t>
            </w:r>
            <w:proofErr w:type="spellEnd"/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 xml:space="preserve"> by Day 60. Publish the first monthly value snapshot.</w:t>
            </w:r>
          </w:p>
        </w:tc>
      </w:tr>
      <w:tr w:rsidR="00F824F8" w14:paraId="7C71F5E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3C73FB5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3 — Prove</w:t>
            </w:r>
          </w:p>
        </w:tc>
        <w:tc>
          <w:tcPr>
            <w:tcW w:w="1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E3D074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61–90</w:t>
            </w:r>
          </w:p>
        </w:tc>
        <w:tc>
          <w:tcPr>
            <w:tcW w:w="6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7C0D9D8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Present 2–3 evidenced early wins. Activate the PMO Scorecard™. Deliver the Day 90 Impact Report with a request for the 12-month roadmap endorsement.</w:t>
            </w:r>
          </w:p>
        </w:tc>
      </w:tr>
    </w:tbl>
    <w:p w14:paraId="3AF489B9" w14:textId="77777777" w:rsidR="00F824F8" w:rsidRDefault="00000000">
      <w:pPr>
        <w:pBdr>
          <w:bottom w:val="single" w:sz="6" w:space="4" w:color="C9921A"/>
        </w:pBdr>
        <w:spacing w:before="280" w:after="100"/>
      </w:pPr>
      <w:r>
        <w:rPr>
          <w:rFonts w:ascii="Arial" w:eastAsia="Arial" w:hAnsi="Arial" w:cs="Arial"/>
          <w:b/>
          <w:bCs/>
          <w:color w:val="0A1628"/>
          <w:sz w:val="22"/>
          <w:szCs w:val="22"/>
        </w:rPr>
        <w:t>The Weekly EVP™ — Four Non-Negotiable Elements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824F8" w14:paraId="67C9038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C9921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5254452A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Value narrative — before, now, trend, financial implication (a sentence, not a table).</w:t>
            </w:r>
          </w:p>
          <w:p w14:paraId="05EE36A0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Top risk — one risk only, named, owned, dated.</w:t>
            </w:r>
          </w:p>
          <w:p w14:paraId="1EB24DDA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 xml:space="preserve">Decision </w:t>
            </w:r>
            <w:proofErr w:type="gramStart"/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ask</w:t>
            </w:r>
            <w:proofErr w:type="gramEnd"/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 xml:space="preserve"> — the specific decision needed this week, owner named, date named, cost of delay named.</w:t>
            </w:r>
          </w:p>
          <w:p w14:paraId="396160BD" w14:textId="77777777" w:rsidR="00F824F8" w:rsidRDefault="00000000">
            <w:pPr>
              <w:spacing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Trend and implication — what the current trajectory costs vs. what correction returns.</w:t>
            </w:r>
          </w:p>
        </w:tc>
      </w:tr>
    </w:tbl>
    <w:p w14:paraId="25986BB1" w14:textId="77777777" w:rsidR="00F824F8" w:rsidRDefault="00000000">
      <w:pPr>
        <w:pBdr>
          <w:bottom w:val="single" w:sz="6" w:space="4" w:color="C9921A"/>
        </w:pBdr>
        <w:spacing w:before="280" w:after="100"/>
      </w:pPr>
      <w:r>
        <w:rPr>
          <w:rFonts w:ascii="Arial" w:eastAsia="Arial" w:hAnsi="Arial" w:cs="Arial"/>
          <w:b/>
          <w:bCs/>
          <w:color w:val="0A1628"/>
          <w:sz w:val="22"/>
          <w:szCs w:val="22"/>
        </w:rPr>
        <w:t>The Five Operating Assets (Held at Day 90)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0"/>
      </w:tblGrid>
      <w:tr w:rsidR="00F824F8" w14:paraId="741A0EE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3683A7E" w14:textId="77777777" w:rsidR="00F824F8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Asset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98E1C5" w14:textId="77777777" w:rsidR="00F824F8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What It Is</w:t>
            </w:r>
          </w:p>
        </w:tc>
      </w:tr>
      <w:tr w:rsidR="00F824F8" w14:paraId="78F664D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6BB2ABC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MVP Launch Playbook™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5632E5C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The three-phase launch sequence.</w:t>
            </w:r>
          </w:p>
        </w:tc>
      </w:tr>
      <w:tr w:rsidR="00F824F8" w14:paraId="3AB694F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F88BD1E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Early Wins Tracker™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BCBF659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Sprint results as sponsor-ready narratives.</w:t>
            </w:r>
          </w:p>
        </w:tc>
      </w:tr>
      <w:tr w:rsidR="00F824F8" w14:paraId="0534E4E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97E93E4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PMO Scorecard™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FC4D78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10–12 outcome-focused measures across five dimensions.</w:t>
            </w:r>
          </w:p>
        </w:tc>
      </w:tr>
      <w:tr w:rsidR="00F824F8" w14:paraId="6866F89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93EA332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Weekly EVP™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307AC39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Decision-grade intelligence, every Monday, without exception.</w:t>
            </w:r>
          </w:p>
        </w:tc>
      </w:tr>
      <w:tr w:rsidR="00F824F8" w14:paraId="05B18F6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15BE304" w14:textId="77777777" w:rsidR="00F824F8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8"/>
                <w:szCs w:val="18"/>
              </w:rPr>
              <w:t>Evolution Roadmap</w:t>
            </w:r>
          </w:p>
        </w:tc>
        <w:tc>
          <w:tcPr>
            <w:tcW w:w="6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20FDB3" w14:textId="77777777" w:rsidR="00F824F8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The continuous-improvement system for what's next.</w:t>
            </w:r>
          </w:p>
        </w:tc>
      </w:tr>
    </w:tbl>
    <w:p w14:paraId="07D80272" w14:textId="77777777" w:rsidR="00F824F8" w:rsidRDefault="00F824F8">
      <w:pPr>
        <w:spacing w:after="14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824F8" w14:paraId="7A53A13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B45309"/>
              <w:bottom w:val="none" w:sz="0" w:space="0" w:color="FFFFFF"/>
              <w:right w:val="none" w:sz="0" w:space="0" w:color="FFFFFF"/>
            </w:tcBorders>
            <w:shd w:val="clear" w:color="auto" w:fill="FDEDD3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04E28B96" w14:textId="77777777" w:rsidR="00F824F8" w:rsidRDefault="000000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B45309"/>
                <w:sz w:val="16"/>
                <w:szCs w:val="16"/>
              </w:rPr>
              <w:t>OPEN NAMING ITEM — CARRIED FORWARD</w:t>
            </w:r>
          </w:p>
          <w:p w14:paraId="0211A781" w14:textId="77777777" w:rsidR="00F824F8" w:rsidRDefault="00000000">
            <w:pPr>
              <w:spacing w:line="270" w:lineRule="auto"/>
            </w:pPr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 xml:space="preserve">The PMO Scorecard™ above uses five dimensions (Delivery Health, Value </w:t>
            </w:r>
            <w:proofErr w:type="spellStart"/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Realisation</w:t>
            </w:r>
            <w:proofErr w:type="spellEnd"/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, Portfolio Alignment, Stakeholder Confidence, Capability Maturity) that differ from the book's primary five value dimensions used in Appendix B and elsewhere (Strategic Alignment, Delivery Confidence, Portfolio Visibility, Stakeholder Trust, Execution Velocity). Reconcile which set is canonical before print.</w:t>
            </w:r>
          </w:p>
        </w:tc>
      </w:tr>
    </w:tbl>
    <w:p w14:paraId="02057FBC" w14:textId="77777777" w:rsidR="00861D68" w:rsidRDefault="00861D68">
      <w:pPr>
        <w:pBdr>
          <w:bottom w:val="single" w:sz="6" w:space="4" w:color="C9921A"/>
        </w:pBdr>
        <w:spacing w:before="280" w:after="100"/>
        <w:rPr>
          <w:rFonts w:ascii="Arial" w:eastAsia="Arial" w:hAnsi="Arial" w:cs="Arial"/>
          <w:b/>
          <w:bCs/>
          <w:color w:val="0A1628"/>
          <w:sz w:val="22"/>
          <w:szCs w:val="22"/>
        </w:rPr>
      </w:pPr>
    </w:p>
    <w:p w14:paraId="6F28C380" w14:textId="77777777" w:rsidR="00861D68" w:rsidRDefault="00861D68">
      <w:pPr>
        <w:pBdr>
          <w:bottom w:val="single" w:sz="6" w:space="4" w:color="C9921A"/>
        </w:pBdr>
        <w:spacing w:before="280" w:after="100"/>
        <w:rPr>
          <w:rFonts w:ascii="Arial" w:eastAsia="Arial" w:hAnsi="Arial" w:cs="Arial"/>
          <w:b/>
          <w:bCs/>
          <w:color w:val="0A1628"/>
          <w:sz w:val="22"/>
          <w:szCs w:val="22"/>
        </w:rPr>
      </w:pPr>
    </w:p>
    <w:p w14:paraId="755C4193" w14:textId="2801FBE2" w:rsidR="00F824F8" w:rsidRDefault="00000000">
      <w:pPr>
        <w:pBdr>
          <w:bottom w:val="single" w:sz="6" w:space="4" w:color="C9921A"/>
        </w:pBdr>
        <w:spacing w:before="280" w:after="100"/>
      </w:pPr>
      <w:r>
        <w:rPr>
          <w:rFonts w:ascii="Arial" w:eastAsia="Arial" w:hAnsi="Arial" w:cs="Arial"/>
          <w:b/>
          <w:bCs/>
          <w:color w:val="0A1628"/>
          <w:sz w:val="22"/>
          <w:szCs w:val="22"/>
        </w:rPr>
        <w:t>Operating Rhythm</w:t>
      </w:r>
    </w:p>
    <w:p w14:paraId="6F4C94B8" w14:textId="77777777" w:rsidR="00F824F8" w:rsidRDefault="00000000">
      <w:pPr>
        <w:spacing w:after="180" w:line="280" w:lineRule="auto"/>
      </w:pPr>
      <w:r>
        <w:rPr>
          <w:rFonts w:ascii="Georgia" w:eastAsia="Georgia" w:hAnsi="Georgia" w:cs="Georgia"/>
          <w:color w:val="1A1A1A"/>
          <w:sz w:val="19"/>
          <w:szCs w:val="19"/>
        </w:rPr>
        <w:t>Weekly EVP™  ·  Fortnightly sprint check-in  ·  Monthly portfolio health review  ·  Monthly value snapshot  ·  Quarterly recommendation pack  ·  Annual PMO Value Report  ·  Annual maturity assessment  ·  Annual sponsor mandate review and renewal</w:t>
      </w:r>
    </w:p>
    <w:p w14:paraId="67F23B78" w14:textId="77777777" w:rsidR="00F824F8" w:rsidRDefault="00000000">
      <w:pPr>
        <w:pBdr>
          <w:bottom w:val="single" w:sz="6" w:space="4" w:color="C9921A"/>
        </w:pBdr>
        <w:spacing w:before="280" w:after="100"/>
      </w:pPr>
      <w:r>
        <w:rPr>
          <w:rFonts w:ascii="Arial" w:eastAsia="Arial" w:hAnsi="Arial" w:cs="Arial"/>
          <w:b/>
          <w:bCs/>
          <w:color w:val="0A1628"/>
          <w:sz w:val="22"/>
          <w:szCs w:val="22"/>
        </w:rPr>
        <w:t>Six Signals a PMO Has Reached Permanence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824F8" w14:paraId="303A48D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C9921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52E068B2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Sponsor references PMO data in their own executive presentations, unprompted.</w:t>
            </w:r>
          </w:p>
          <w:p w14:paraId="061D6968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Leadership asks the PMO for input before portfolio decisions, not after.</w:t>
            </w:r>
          </w:p>
          <w:p w14:paraId="31616E1C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PMO budget is defended by the sponsor at executive level, not questioned.</w:t>
            </w:r>
          </w:p>
          <w:p w14:paraId="01C9EBE9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New strategic initiatives are automatically routed through PMO governance.</w:t>
            </w:r>
          </w:p>
          <w:p w14:paraId="3A6C04EA" w14:textId="77777777" w:rsidR="00F824F8" w:rsidRDefault="00000000">
            <w:pPr>
              <w:spacing w:after="90"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PMO is invited to strategic planning sessions, not just delivery meetings.</w:t>
            </w:r>
          </w:p>
          <w:p w14:paraId="5D05527C" w14:textId="77777777" w:rsidR="00F824F8" w:rsidRDefault="00000000">
            <w:pPr>
              <w:spacing w:line="270" w:lineRule="auto"/>
            </w:pPr>
            <w:r>
              <w:rPr>
                <w:rFonts w:ascii="Georgia" w:eastAsia="Georgia" w:hAnsi="Georgia" w:cs="Georgia"/>
                <w:b/>
                <w:bCs/>
                <w:color w:val="C9921A"/>
                <w:sz w:val="19"/>
                <w:szCs w:val="19"/>
              </w:rPr>
              <w:t xml:space="preserve">•  </w:t>
            </w:r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When asked if the org can afford the PMO, the sponsor's answer is: “can we afford not to?”</w:t>
            </w:r>
          </w:p>
        </w:tc>
      </w:tr>
    </w:tbl>
    <w:p w14:paraId="47097297" w14:textId="77777777" w:rsidR="00F824F8" w:rsidRDefault="00000000">
      <w:pPr>
        <w:pBdr>
          <w:top w:val="single" w:sz="6" w:space="8" w:color="C9921A"/>
        </w:pBdr>
        <w:spacing w:before="280"/>
        <w:jc w:val="center"/>
      </w:pPr>
      <w:r>
        <w:rPr>
          <w:rFonts w:ascii="Georgia" w:eastAsia="Georgia" w:hAnsi="Georgia" w:cs="Georgia"/>
          <w:i/>
          <w:iCs/>
          <w:color w:val="6B7280"/>
          <w:sz w:val="17"/>
          <w:szCs w:val="17"/>
        </w:rPr>
        <w:t>From Cost Centre to Value Engine  ·  PMO-MVM™ Chapter 8 Action Tool  ·  RUN PMO Consulting™</w:t>
      </w:r>
    </w:p>
    <w:sectPr w:rsidR="00F824F8">
      <w:pgSz w:w="12240" w:h="15840"/>
      <w:pgMar w:top="800" w:right="800" w:bottom="80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D1441"/>
    <w:multiLevelType w:val="hybridMultilevel"/>
    <w:tmpl w:val="4746D0F6"/>
    <w:lvl w:ilvl="0" w:tplc="0B90E99A">
      <w:start w:val="1"/>
      <w:numFmt w:val="bullet"/>
      <w:lvlText w:val="●"/>
      <w:lvlJc w:val="left"/>
      <w:pPr>
        <w:ind w:left="720" w:hanging="360"/>
      </w:pPr>
    </w:lvl>
    <w:lvl w:ilvl="1" w:tplc="3A02CA96">
      <w:start w:val="1"/>
      <w:numFmt w:val="bullet"/>
      <w:lvlText w:val="○"/>
      <w:lvlJc w:val="left"/>
      <w:pPr>
        <w:ind w:left="1440" w:hanging="360"/>
      </w:pPr>
    </w:lvl>
    <w:lvl w:ilvl="2" w:tplc="8408A8BC">
      <w:start w:val="1"/>
      <w:numFmt w:val="bullet"/>
      <w:lvlText w:val="■"/>
      <w:lvlJc w:val="left"/>
      <w:pPr>
        <w:ind w:left="2160" w:hanging="360"/>
      </w:pPr>
    </w:lvl>
    <w:lvl w:ilvl="3" w:tplc="E3C8F70A">
      <w:start w:val="1"/>
      <w:numFmt w:val="bullet"/>
      <w:lvlText w:val="●"/>
      <w:lvlJc w:val="left"/>
      <w:pPr>
        <w:ind w:left="2880" w:hanging="360"/>
      </w:pPr>
    </w:lvl>
    <w:lvl w:ilvl="4" w:tplc="00340B00">
      <w:start w:val="1"/>
      <w:numFmt w:val="bullet"/>
      <w:lvlText w:val="○"/>
      <w:lvlJc w:val="left"/>
      <w:pPr>
        <w:ind w:left="3600" w:hanging="360"/>
      </w:pPr>
    </w:lvl>
    <w:lvl w:ilvl="5" w:tplc="6B9013DE">
      <w:start w:val="1"/>
      <w:numFmt w:val="bullet"/>
      <w:lvlText w:val="■"/>
      <w:lvlJc w:val="left"/>
      <w:pPr>
        <w:ind w:left="4320" w:hanging="360"/>
      </w:pPr>
    </w:lvl>
    <w:lvl w:ilvl="6" w:tplc="AD62F530">
      <w:start w:val="1"/>
      <w:numFmt w:val="bullet"/>
      <w:lvlText w:val="●"/>
      <w:lvlJc w:val="left"/>
      <w:pPr>
        <w:ind w:left="5040" w:hanging="360"/>
      </w:pPr>
    </w:lvl>
    <w:lvl w:ilvl="7" w:tplc="DDA46054">
      <w:start w:val="1"/>
      <w:numFmt w:val="bullet"/>
      <w:lvlText w:val="●"/>
      <w:lvlJc w:val="left"/>
      <w:pPr>
        <w:ind w:left="5760" w:hanging="360"/>
      </w:pPr>
    </w:lvl>
    <w:lvl w:ilvl="8" w:tplc="069278B4">
      <w:start w:val="1"/>
      <w:numFmt w:val="bullet"/>
      <w:lvlText w:val="●"/>
      <w:lvlJc w:val="left"/>
      <w:pPr>
        <w:ind w:left="6480" w:hanging="360"/>
      </w:pPr>
    </w:lvl>
  </w:abstractNum>
  <w:num w:numId="1" w16cid:durableId="1020932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F8"/>
    <w:rsid w:val="00861D68"/>
    <w:rsid w:val="00874863"/>
    <w:rsid w:val="00F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FE3A"/>
  <w15:docId w15:val="{11659E9D-6A0B-4E6E-8EFF-F2B6621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ahmed jadelrab</cp:lastModifiedBy>
  <cp:revision>2</cp:revision>
  <dcterms:created xsi:type="dcterms:W3CDTF">2026-08-12T09:16:00Z</dcterms:created>
  <dcterms:modified xsi:type="dcterms:W3CDTF">2026-08-12T09:16:00Z</dcterms:modified>
</cp:coreProperties>
</file>