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411D3F" w14:paraId="243C5BC6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1628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71075CA" w14:textId="77777777" w:rsidR="00411D3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20"/>
                <w:sz w:val="16"/>
                <w:szCs w:val="16"/>
              </w:rPr>
              <w:t>FROM COST CENTRE TO VALUE ENGINE · PMO-MVM™</w:t>
            </w:r>
          </w:p>
          <w:p w14:paraId="5D839701" w14:textId="77777777" w:rsidR="00411D3F" w:rsidRDefault="00000000">
            <w:pPr>
              <w:spacing w:after="160"/>
            </w:pPr>
            <w:r>
              <w:rPr>
                <w:rFonts w:ascii="Arial" w:eastAsia="Arial" w:hAnsi="Arial" w:cs="Arial"/>
                <w:color w:val="9FB0C8"/>
                <w:sz w:val="18"/>
                <w:szCs w:val="18"/>
              </w:rPr>
              <w:t>Chapter 7 Action Tool</w:t>
            </w:r>
          </w:p>
          <w:p w14:paraId="1C44EC4A" w14:textId="77777777" w:rsidR="00411D3F" w:rsidRDefault="00000000">
            <w:pPr>
              <w:spacing w:after="120"/>
            </w:pPr>
            <w:r>
              <w:rPr>
                <w:rFonts w:ascii="Arial" w:eastAsia="Arial" w:hAnsi="Arial" w:cs="Arial"/>
                <w:b/>
                <w:bCs/>
                <w:color w:val="FFFFFF"/>
                <w:sz w:val="40"/>
                <w:szCs w:val="40"/>
              </w:rPr>
              <w:t>Appendix D · The Weekly Executive Value Page™ Template</w:t>
            </w:r>
          </w:p>
          <w:p w14:paraId="1B298E14" w14:textId="77777777" w:rsidR="00411D3F" w:rsidRDefault="00000000">
            <w:r>
              <w:rPr>
                <w:rFonts w:ascii="Georgia" w:eastAsia="Georgia" w:hAnsi="Georgia" w:cs="Georgia"/>
                <w:i/>
                <w:iCs/>
                <w:color w:val="FFF6E6"/>
                <w:sz w:val="22"/>
                <w:szCs w:val="22"/>
              </w:rPr>
              <w:t>One page. Four elements. The primary ongoing deliverable of the 90-Day Value Proof Sprint™.</w:t>
            </w:r>
          </w:p>
        </w:tc>
      </w:tr>
    </w:tbl>
    <w:p w14:paraId="3A9991D9" w14:textId="77777777" w:rsidR="00411D3F" w:rsidRDefault="00411D3F">
      <w:pPr>
        <w:spacing w:after="2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411D3F" w14:paraId="0D8ED492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single" w:sz="24" w:space="0" w:color="C9921A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307D0049" w14:textId="77777777" w:rsidR="00411D3F" w:rsidRDefault="00000000">
            <w:pPr>
              <w:spacing w:after="100"/>
            </w:pPr>
            <w:r>
              <w:rPr>
                <w:rFonts w:ascii="Arial" w:eastAsia="Arial" w:hAnsi="Arial" w:cs="Arial"/>
                <w:b/>
                <w:bCs/>
                <w:color w:val="C9921A"/>
                <w:sz w:val="17"/>
                <w:szCs w:val="17"/>
              </w:rPr>
              <w:t>HOW TO USE THIS TOOL</w:t>
            </w:r>
          </w:p>
          <w:p w14:paraId="4680AAD0" w14:textId="77777777" w:rsidR="00411D3F" w:rsidRDefault="00000000">
            <w:pPr>
              <w:spacing w:after="80"/>
            </w:pPr>
            <w:r>
              <w:rPr>
                <w:rFonts w:ascii="Georgia" w:eastAsia="Georgia" w:hAnsi="Georgia" w:cs="Georgia"/>
                <w:b/>
                <w:bCs/>
                <w:color w:val="C9921A"/>
              </w:rPr>
              <w:t xml:space="preserve">1.  </w:t>
            </w:r>
            <w:r>
              <w:rPr>
                <w:rFonts w:ascii="Georgia" w:eastAsia="Georgia" w:hAnsi="Georgia" w:cs="Georgia"/>
                <w:color w:val="1A1A1A"/>
              </w:rPr>
              <w:t>Complete all four elements every week during your 90-Day Value Proof Sprint™ (Appendix C) — this is the cadence, not a one-off report.</w:t>
            </w:r>
          </w:p>
          <w:p w14:paraId="5125D38A" w14:textId="77777777" w:rsidR="00411D3F" w:rsidRDefault="00000000">
            <w:pPr>
              <w:spacing w:after="80"/>
            </w:pPr>
            <w:r>
              <w:rPr>
                <w:rFonts w:ascii="Georgia" w:eastAsia="Georgia" w:hAnsi="Georgia" w:cs="Georgia"/>
                <w:b/>
                <w:bCs/>
                <w:color w:val="C9921A"/>
              </w:rPr>
              <w:t xml:space="preserve">2.  </w:t>
            </w:r>
            <w:r>
              <w:rPr>
                <w:rFonts w:ascii="Georgia" w:eastAsia="Georgia" w:hAnsi="Georgia" w:cs="Georgia"/>
                <w:color w:val="1A1A1A"/>
              </w:rPr>
              <w:t>Keep each element to a few sentences. This is a one-page brief, not a status report — brevity is the discipline.</w:t>
            </w:r>
          </w:p>
          <w:p w14:paraId="33313724" w14:textId="77777777" w:rsidR="00411D3F" w:rsidRDefault="00000000">
            <w:pPr>
              <w:spacing w:after="80"/>
            </w:pPr>
            <w:r>
              <w:rPr>
                <w:rFonts w:ascii="Georgia" w:eastAsia="Georgia" w:hAnsi="Georgia" w:cs="Georgia"/>
                <w:b/>
                <w:bCs/>
                <w:color w:val="C9921A"/>
              </w:rPr>
              <w:t xml:space="preserve">3.  </w:t>
            </w:r>
            <w:r>
              <w:rPr>
                <w:rFonts w:ascii="Georgia" w:eastAsia="Georgia" w:hAnsi="Georgia" w:cs="Georgia"/>
                <w:color w:val="1A1A1A"/>
              </w:rPr>
              <w:t>Element 3, the Decision Ask, is the page's purpose. If there is no decision to ask for this week, ask whether the page is still doing its job.</w:t>
            </w:r>
          </w:p>
          <w:p w14:paraId="021D2A09" w14:textId="77777777" w:rsidR="00411D3F" w:rsidRDefault="00000000">
            <w:pPr>
              <w:spacing w:after="80"/>
            </w:pPr>
            <w:r>
              <w:rPr>
                <w:rFonts w:ascii="Georgia" w:eastAsia="Georgia" w:hAnsi="Georgia" w:cs="Georgia"/>
                <w:b/>
                <w:bCs/>
                <w:color w:val="C9921A"/>
              </w:rPr>
              <w:t xml:space="preserve">4.  </w:t>
            </w:r>
            <w:r>
              <w:rPr>
                <w:rFonts w:ascii="Georgia" w:eastAsia="Georgia" w:hAnsi="Georgia" w:cs="Georgia"/>
                <w:color w:val="1A1A1A"/>
              </w:rPr>
              <w:t xml:space="preserve">Send it to your executive sponsor on the same day and time each </w:t>
            </w:r>
            <w:proofErr w:type="gramStart"/>
            <w:r>
              <w:rPr>
                <w:rFonts w:ascii="Georgia" w:eastAsia="Georgia" w:hAnsi="Georgia" w:cs="Georgia"/>
                <w:color w:val="1A1A1A"/>
              </w:rPr>
              <w:t>week — consistency</w:t>
            </w:r>
            <w:proofErr w:type="gramEnd"/>
            <w:r>
              <w:rPr>
                <w:rFonts w:ascii="Georgia" w:eastAsia="Georgia" w:hAnsi="Georgia" w:cs="Georgia"/>
                <w:color w:val="1A1A1A"/>
              </w:rPr>
              <w:t xml:space="preserve"> builds the habit of reading it.</w:t>
            </w:r>
          </w:p>
          <w:p w14:paraId="33E25976" w14:textId="77777777" w:rsidR="00411D3F" w:rsidRDefault="00000000">
            <w:r>
              <w:rPr>
                <w:rFonts w:ascii="Georgia" w:eastAsia="Georgia" w:hAnsi="Georgia" w:cs="Georgia"/>
                <w:b/>
                <w:bCs/>
                <w:color w:val="C9921A"/>
              </w:rPr>
              <w:t xml:space="preserve">5.  </w:t>
            </w:r>
            <w:r>
              <w:rPr>
                <w:rFonts w:ascii="Georgia" w:eastAsia="Georgia" w:hAnsi="Georgia" w:cs="Georgia"/>
                <w:color w:val="1A1A1A"/>
              </w:rPr>
              <w:t xml:space="preserve">A filled example (illustrative, </w:t>
            </w:r>
            <w:proofErr w:type="spellStart"/>
            <w:r>
              <w:rPr>
                <w:rFonts w:ascii="Georgia" w:eastAsia="Georgia" w:hAnsi="Georgia" w:cs="Georgia"/>
                <w:color w:val="1A1A1A"/>
              </w:rPr>
              <w:t>anonymised</w:t>
            </w:r>
            <w:proofErr w:type="spellEnd"/>
            <w:r>
              <w:rPr>
                <w:rFonts w:ascii="Georgia" w:eastAsia="Georgia" w:hAnsi="Georgia" w:cs="Georgia"/>
                <w:color w:val="1A1A1A"/>
              </w:rPr>
              <w:t>) is available alongside this template at runpmoconsulting.com/book-tools/weekly-executive-value-page.</w:t>
            </w:r>
          </w:p>
        </w:tc>
      </w:tr>
    </w:tbl>
    <w:p w14:paraId="3B7DA135" w14:textId="77777777" w:rsidR="00411D3F" w:rsidRDefault="00000000">
      <w:pPr>
        <w:pBdr>
          <w:bottom w:val="single" w:sz="6" w:space="4" w:color="C9921A"/>
        </w:pBdr>
        <w:spacing w:before="320" w:after="120"/>
      </w:pPr>
      <w:r>
        <w:rPr>
          <w:rFonts w:ascii="Arial" w:eastAsia="Arial" w:hAnsi="Arial" w:cs="Arial"/>
          <w:b/>
          <w:bCs/>
          <w:color w:val="0A1628"/>
          <w:sz w:val="24"/>
          <w:szCs w:val="24"/>
        </w:rPr>
        <w:t>Report Details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7"/>
        <w:gridCol w:w="2607"/>
        <w:gridCol w:w="2608"/>
        <w:gridCol w:w="2608"/>
      </w:tblGrid>
      <w:tr w:rsidR="00411D3F" w14:paraId="591552BA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D9E429F" w14:textId="77777777" w:rsidR="00411D3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10"/>
                <w:sz w:val="14"/>
                <w:szCs w:val="14"/>
              </w:rPr>
              <w:t>PORTFOLIO</w:t>
            </w:r>
          </w:p>
          <w:p w14:paraId="1B6EBBD5" w14:textId="77777777" w:rsidR="00411D3F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_______________________</w:t>
            </w:r>
          </w:p>
        </w:tc>
        <w:tc>
          <w:tcPr>
            <w:tcW w:w="23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28ADB4" w14:textId="77777777" w:rsidR="00411D3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10"/>
                <w:sz w:val="14"/>
                <w:szCs w:val="14"/>
              </w:rPr>
              <w:t>INITIATIVES</w:t>
            </w:r>
          </w:p>
          <w:p w14:paraId="6D9C8544" w14:textId="77777777" w:rsidR="00411D3F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_______________________</w:t>
            </w:r>
          </w:p>
        </w:tc>
        <w:tc>
          <w:tcPr>
            <w:tcW w:w="23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8B1685C" w14:textId="77777777" w:rsidR="00411D3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10"/>
                <w:sz w:val="14"/>
                <w:szCs w:val="14"/>
              </w:rPr>
              <w:t>SPONSOR</w:t>
            </w:r>
          </w:p>
          <w:p w14:paraId="38FD5622" w14:textId="77777777" w:rsidR="00411D3F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_______________________</w:t>
            </w:r>
          </w:p>
        </w:tc>
        <w:tc>
          <w:tcPr>
            <w:tcW w:w="23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9DE1F7B" w14:textId="77777777" w:rsidR="00411D3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921A"/>
                <w:spacing w:val="10"/>
                <w:sz w:val="14"/>
                <w:szCs w:val="14"/>
              </w:rPr>
              <w:t>REPORTING PERIOD</w:t>
            </w:r>
          </w:p>
          <w:p w14:paraId="096A9651" w14:textId="77777777" w:rsidR="00411D3F" w:rsidRDefault="00000000">
            <w:r>
              <w:rPr>
                <w:rFonts w:ascii="Georgia" w:eastAsia="Georgia" w:hAnsi="Georgia" w:cs="Georgia"/>
                <w:color w:val="1A1A1A"/>
                <w:sz w:val="18"/>
                <w:szCs w:val="18"/>
              </w:rPr>
              <w:t>_______________________</w:t>
            </w:r>
          </w:p>
        </w:tc>
      </w:tr>
    </w:tbl>
    <w:p w14:paraId="22139758" w14:textId="77777777" w:rsidR="00411D3F" w:rsidRDefault="00411D3F">
      <w:pPr>
        <w:spacing w:after="220"/>
      </w:pPr>
    </w:p>
    <w:p w14:paraId="64A1C26A" w14:textId="77777777" w:rsidR="00411D3F" w:rsidRDefault="00000000">
      <w:pPr>
        <w:pBdr>
          <w:bottom w:val="single" w:sz="6" w:space="4" w:color="C9921A"/>
        </w:pBdr>
        <w:spacing w:before="320" w:after="120"/>
      </w:pPr>
      <w:r>
        <w:rPr>
          <w:rFonts w:ascii="Arial" w:eastAsia="Arial" w:hAnsi="Arial" w:cs="Arial"/>
          <w:b/>
          <w:bCs/>
          <w:color w:val="0A1628"/>
          <w:sz w:val="24"/>
          <w:szCs w:val="24"/>
        </w:rPr>
        <w:t>The Four Elements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"/>
        <w:gridCol w:w="8600"/>
      </w:tblGrid>
      <w:tr w:rsidR="00411D3F" w14:paraId="728D3E52" w14:textId="77777777">
        <w:tblPrEx>
          <w:tblCellMar>
            <w:top w:w="0" w:type="dxa"/>
            <w:bottom w:w="0" w:type="dxa"/>
          </w:tblCellMar>
        </w:tblPrEx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9921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AC463C" w14:textId="77777777" w:rsidR="00411D3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A1628"/>
                <w:sz w:val="28"/>
                <w:szCs w:val="28"/>
              </w:rPr>
              <w:t>01</w:t>
            </w:r>
          </w:p>
        </w:tc>
        <w:tc>
          <w:tcPr>
            <w:tcW w:w="8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33D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80F2A96" w14:textId="77777777" w:rsidR="00411D3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Value Baseline</w:t>
            </w:r>
          </w:p>
          <w:p w14:paraId="28E19E93" w14:textId="77777777" w:rsidR="00411D3F" w:rsidRDefault="00000000">
            <w:r>
              <w:rPr>
                <w:rFonts w:ascii="Georgia" w:eastAsia="Georgia" w:hAnsi="Georgia" w:cs="Georgia"/>
                <w:i/>
                <w:iCs/>
                <w:color w:val="FFF6E6"/>
                <w:sz w:val="17"/>
                <w:szCs w:val="17"/>
              </w:rPr>
              <w:t>Where value stands against commitment</w:t>
            </w:r>
          </w:p>
        </w:tc>
      </w:tr>
      <w:tr w:rsidR="00411D3F" w14:paraId="60B2E24A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220" w:type="dxa"/>
              <w:bottom w:w="220" w:type="dxa"/>
              <w:right w:w="220" w:type="dxa"/>
            </w:tcMar>
          </w:tcPr>
          <w:p w14:paraId="2F9CD696" w14:textId="77777777" w:rsidR="00411D3F" w:rsidRDefault="00000000">
            <w:pPr>
              <w:spacing w:after="60" w:line="28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•  What percentage of committed annual/quarterly value is the portfolio tracking against plan?</w:t>
            </w:r>
          </w:p>
          <w:p w14:paraId="2EE109A4" w14:textId="77777777" w:rsidR="00411D3F" w:rsidRDefault="00000000">
            <w:pPr>
              <w:spacing w:after="60" w:line="28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•  Where does delivery confidence sit across your active initiatives — and where is the exception?</w:t>
            </w:r>
          </w:p>
          <w:p w14:paraId="0A3BA78E" w14:textId="77777777" w:rsidR="00411D3F" w:rsidRDefault="00000000">
            <w:pPr>
              <w:spacing w:before="12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  <w:p w14:paraId="2D97B74C" w14:textId="77777777" w:rsidR="00411D3F" w:rsidRDefault="00000000">
            <w:pPr>
              <w:spacing w:before="16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  <w:p w14:paraId="305FA7BE" w14:textId="77777777" w:rsidR="00411D3F" w:rsidRDefault="00000000">
            <w:pPr>
              <w:spacing w:before="16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</w:tc>
      </w:tr>
    </w:tbl>
    <w:p w14:paraId="49A0088C" w14:textId="77777777" w:rsidR="00411D3F" w:rsidRDefault="00411D3F">
      <w:pPr>
        <w:spacing w:after="22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"/>
        <w:gridCol w:w="8600"/>
      </w:tblGrid>
      <w:tr w:rsidR="00411D3F" w14:paraId="6BB5191B" w14:textId="77777777">
        <w:tblPrEx>
          <w:tblCellMar>
            <w:top w:w="0" w:type="dxa"/>
            <w:bottom w:w="0" w:type="dxa"/>
          </w:tblCellMar>
        </w:tblPrEx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9921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74D0A2" w14:textId="77777777" w:rsidR="00411D3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A1628"/>
                <w:sz w:val="28"/>
                <w:szCs w:val="28"/>
              </w:rPr>
              <w:t>02</w:t>
            </w:r>
          </w:p>
        </w:tc>
        <w:tc>
          <w:tcPr>
            <w:tcW w:w="8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33D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B748E4C" w14:textId="77777777" w:rsidR="00411D3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Top Risk</w:t>
            </w:r>
          </w:p>
          <w:p w14:paraId="7183E355" w14:textId="77777777" w:rsidR="00411D3F" w:rsidRDefault="00000000">
            <w:r>
              <w:rPr>
                <w:rFonts w:ascii="Georgia" w:eastAsia="Georgia" w:hAnsi="Georgia" w:cs="Georgia"/>
                <w:i/>
                <w:iCs/>
                <w:color w:val="FFF6E6"/>
                <w:sz w:val="17"/>
                <w:szCs w:val="17"/>
              </w:rPr>
              <w:t>The single risk most threatening to value</w:t>
            </w:r>
          </w:p>
        </w:tc>
      </w:tr>
      <w:tr w:rsidR="00411D3F" w14:paraId="6F9810F7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220" w:type="dxa"/>
              <w:bottom w:w="220" w:type="dxa"/>
              <w:right w:w="220" w:type="dxa"/>
            </w:tcMar>
          </w:tcPr>
          <w:p w14:paraId="1D9109EF" w14:textId="77777777" w:rsidR="00411D3F" w:rsidRDefault="00000000">
            <w:pPr>
              <w:spacing w:after="60" w:line="28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•  Name the one risk most likely to prevent the value target being met — not a list, one.</w:t>
            </w:r>
          </w:p>
          <w:p w14:paraId="6036E9AB" w14:textId="77777777" w:rsidR="00411D3F" w:rsidRDefault="00000000">
            <w:pPr>
              <w:spacing w:after="60" w:line="28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lastRenderedPageBreak/>
              <w:t>•  What happens if it is not addressed, and by when?</w:t>
            </w:r>
          </w:p>
          <w:p w14:paraId="35AF28C7" w14:textId="77777777" w:rsidR="00411D3F" w:rsidRDefault="00000000">
            <w:pPr>
              <w:spacing w:before="12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  <w:p w14:paraId="1BBC241A" w14:textId="77777777" w:rsidR="00411D3F" w:rsidRDefault="00000000">
            <w:pPr>
              <w:spacing w:before="16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  <w:p w14:paraId="1BC1A9B4" w14:textId="77777777" w:rsidR="00411D3F" w:rsidRDefault="00000000">
            <w:pPr>
              <w:spacing w:before="16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</w:tc>
      </w:tr>
    </w:tbl>
    <w:p w14:paraId="37CFC4DF" w14:textId="77777777" w:rsidR="00411D3F" w:rsidRDefault="00411D3F">
      <w:pPr>
        <w:spacing w:after="22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"/>
        <w:gridCol w:w="8600"/>
      </w:tblGrid>
      <w:tr w:rsidR="00411D3F" w14:paraId="7EF5050E" w14:textId="77777777">
        <w:tblPrEx>
          <w:tblCellMar>
            <w:top w:w="0" w:type="dxa"/>
            <w:bottom w:w="0" w:type="dxa"/>
          </w:tblCellMar>
        </w:tblPrEx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9921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C083A4" w14:textId="77777777" w:rsidR="00411D3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A1628"/>
                <w:sz w:val="28"/>
                <w:szCs w:val="28"/>
              </w:rPr>
              <w:t>03</w:t>
            </w:r>
          </w:p>
        </w:tc>
        <w:tc>
          <w:tcPr>
            <w:tcW w:w="8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33D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C87023E" w14:textId="77777777" w:rsidR="00411D3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Decision Ask</w:t>
            </w:r>
          </w:p>
          <w:p w14:paraId="726DF24A" w14:textId="77777777" w:rsidR="00411D3F" w:rsidRDefault="00000000">
            <w:r>
              <w:rPr>
                <w:rFonts w:ascii="Georgia" w:eastAsia="Georgia" w:hAnsi="Georgia" w:cs="Georgia"/>
                <w:i/>
                <w:iCs/>
                <w:color w:val="FFF6E6"/>
                <w:sz w:val="17"/>
                <w:szCs w:val="17"/>
              </w:rPr>
              <w:t>What the sponsor must decide this week</w:t>
            </w:r>
          </w:p>
        </w:tc>
      </w:tr>
      <w:tr w:rsidR="00411D3F" w14:paraId="198976BC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220" w:type="dxa"/>
              <w:bottom w:w="220" w:type="dxa"/>
              <w:right w:w="220" w:type="dxa"/>
            </w:tcMar>
          </w:tcPr>
          <w:p w14:paraId="18CFD3D0" w14:textId="77777777" w:rsidR="00411D3F" w:rsidRDefault="00000000">
            <w:pPr>
              <w:spacing w:after="60" w:line="28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•  What specific decision do you need from your executive sponsor this week?</w:t>
            </w:r>
          </w:p>
          <w:p w14:paraId="77FD916D" w14:textId="77777777" w:rsidR="00411D3F" w:rsidRDefault="00000000">
            <w:pPr>
              <w:spacing w:after="60" w:line="28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•  Frame it as a decision, not an update — something they must act on, not just read.</w:t>
            </w:r>
          </w:p>
          <w:p w14:paraId="55C0EBA5" w14:textId="77777777" w:rsidR="00411D3F" w:rsidRDefault="00000000">
            <w:pPr>
              <w:spacing w:before="12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  <w:p w14:paraId="651D0C41" w14:textId="77777777" w:rsidR="00411D3F" w:rsidRDefault="00000000">
            <w:pPr>
              <w:spacing w:before="16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  <w:p w14:paraId="266C085C" w14:textId="77777777" w:rsidR="00411D3F" w:rsidRDefault="00000000">
            <w:pPr>
              <w:spacing w:before="16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</w:tc>
      </w:tr>
    </w:tbl>
    <w:p w14:paraId="499CBE72" w14:textId="77777777" w:rsidR="00411D3F" w:rsidRDefault="00411D3F">
      <w:pPr>
        <w:spacing w:after="22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"/>
        <w:gridCol w:w="8600"/>
      </w:tblGrid>
      <w:tr w:rsidR="00411D3F" w14:paraId="310D79AB" w14:textId="77777777">
        <w:tblPrEx>
          <w:tblCellMar>
            <w:top w:w="0" w:type="dxa"/>
            <w:bottom w:w="0" w:type="dxa"/>
          </w:tblCellMar>
        </w:tblPrEx>
        <w:tc>
          <w:tcPr>
            <w:tcW w:w="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9921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430571" w14:textId="77777777" w:rsidR="00411D3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A1628"/>
                <w:sz w:val="28"/>
                <w:szCs w:val="28"/>
              </w:rPr>
              <w:t>04</w:t>
            </w:r>
          </w:p>
        </w:tc>
        <w:tc>
          <w:tcPr>
            <w:tcW w:w="8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33D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F34745A" w14:textId="77777777" w:rsidR="00411D3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Financial Implication</w:t>
            </w:r>
          </w:p>
          <w:p w14:paraId="0A60724C" w14:textId="77777777" w:rsidR="00411D3F" w:rsidRDefault="00000000">
            <w:r>
              <w:rPr>
                <w:rFonts w:ascii="Georgia" w:eastAsia="Georgia" w:hAnsi="Georgia" w:cs="Georgia"/>
                <w:i/>
                <w:iCs/>
                <w:color w:val="FFF6E6"/>
                <w:sz w:val="17"/>
                <w:szCs w:val="17"/>
              </w:rPr>
              <w:t>The value consequence of the decision</w:t>
            </w:r>
          </w:p>
        </w:tc>
      </w:tr>
      <w:tr w:rsidR="00411D3F" w14:paraId="750C943F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220" w:type="dxa"/>
              <w:bottom w:w="220" w:type="dxa"/>
              <w:right w:w="220" w:type="dxa"/>
            </w:tcMar>
          </w:tcPr>
          <w:p w14:paraId="6D016777" w14:textId="77777777" w:rsidR="00411D3F" w:rsidRDefault="00000000">
            <w:pPr>
              <w:spacing w:after="60" w:line="28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•  What does acting now protect, in value terms?</w:t>
            </w:r>
          </w:p>
          <w:p w14:paraId="69EB31F8" w14:textId="77777777" w:rsidR="00411D3F" w:rsidRDefault="00000000">
            <w:pPr>
              <w:spacing w:after="60" w:line="280" w:lineRule="auto"/>
            </w:pPr>
            <w:r>
              <w:rPr>
                <w:rFonts w:ascii="Georgia" w:eastAsia="Georgia" w:hAnsi="Georgia" w:cs="Georgia"/>
                <w:i/>
                <w:iCs/>
                <w:color w:val="1A1A1A"/>
                <w:sz w:val="19"/>
                <w:szCs w:val="19"/>
              </w:rPr>
              <w:t>•  What does further delay cost — quantify it where you can.</w:t>
            </w:r>
          </w:p>
          <w:p w14:paraId="7EE8ED1A" w14:textId="77777777" w:rsidR="00411D3F" w:rsidRDefault="00000000">
            <w:pPr>
              <w:spacing w:before="12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  <w:p w14:paraId="48DD01DF" w14:textId="77777777" w:rsidR="00411D3F" w:rsidRDefault="00000000">
            <w:pPr>
              <w:spacing w:before="16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  <w:p w14:paraId="619D9290" w14:textId="77777777" w:rsidR="00411D3F" w:rsidRDefault="00000000">
            <w:pPr>
              <w:spacing w:before="160"/>
            </w:pPr>
            <w:r>
              <w:rPr>
                <w:rFonts w:ascii="Georgia" w:eastAsia="Georgia" w:hAnsi="Georgia" w:cs="Georgia"/>
                <w:color w:val="AAAAAA"/>
                <w:sz w:val="19"/>
                <w:szCs w:val="19"/>
              </w:rPr>
              <w:t>_____________________________________________________________________</w:t>
            </w:r>
          </w:p>
        </w:tc>
      </w:tr>
    </w:tbl>
    <w:p w14:paraId="7EA03157" w14:textId="77777777" w:rsidR="00411D3F" w:rsidRDefault="00411D3F">
      <w:pPr>
        <w:spacing w:after="220"/>
      </w:pPr>
    </w:p>
    <w:p w14:paraId="6291CB91" w14:textId="77777777" w:rsidR="00411D3F" w:rsidRDefault="00000000">
      <w:pPr>
        <w:pBdr>
          <w:top w:val="single" w:sz="6" w:space="8" w:color="C9921A"/>
        </w:pBdr>
        <w:spacing w:before="200"/>
        <w:jc w:val="center"/>
      </w:pPr>
      <w:r>
        <w:rPr>
          <w:rFonts w:ascii="Georgia" w:eastAsia="Georgia" w:hAnsi="Georgia" w:cs="Georgia"/>
          <w:i/>
          <w:iCs/>
          <w:color w:val="6B7280"/>
          <w:sz w:val="18"/>
          <w:szCs w:val="18"/>
        </w:rPr>
        <w:t>From Cost Centre to Value Engine  ·  PMO-MVM™ Chapter 7 Action Tool  ·  RUN PMO Consulting™</w:t>
      </w:r>
    </w:p>
    <w:sectPr w:rsidR="00411D3F"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65E69"/>
    <w:multiLevelType w:val="hybridMultilevel"/>
    <w:tmpl w:val="7AAE0876"/>
    <w:lvl w:ilvl="0" w:tplc="D3BED8E8">
      <w:start w:val="1"/>
      <w:numFmt w:val="bullet"/>
      <w:lvlText w:val="●"/>
      <w:lvlJc w:val="left"/>
      <w:pPr>
        <w:ind w:left="720" w:hanging="360"/>
      </w:pPr>
    </w:lvl>
    <w:lvl w:ilvl="1" w:tplc="E422AA08">
      <w:start w:val="1"/>
      <w:numFmt w:val="bullet"/>
      <w:lvlText w:val="○"/>
      <w:lvlJc w:val="left"/>
      <w:pPr>
        <w:ind w:left="1440" w:hanging="360"/>
      </w:pPr>
    </w:lvl>
    <w:lvl w:ilvl="2" w:tplc="7D32842E">
      <w:start w:val="1"/>
      <w:numFmt w:val="bullet"/>
      <w:lvlText w:val="■"/>
      <w:lvlJc w:val="left"/>
      <w:pPr>
        <w:ind w:left="2160" w:hanging="360"/>
      </w:pPr>
    </w:lvl>
    <w:lvl w:ilvl="3" w:tplc="4E40851E">
      <w:start w:val="1"/>
      <w:numFmt w:val="bullet"/>
      <w:lvlText w:val="●"/>
      <w:lvlJc w:val="left"/>
      <w:pPr>
        <w:ind w:left="2880" w:hanging="360"/>
      </w:pPr>
    </w:lvl>
    <w:lvl w:ilvl="4" w:tplc="58F8A622">
      <w:start w:val="1"/>
      <w:numFmt w:val="bullet"/>
      <w:lvlText w:val="○"/>
      <w:lvlJc w:val="left"/>
      <w:pPr>
        <w:ind w:left="3600" w:hanging="360"/>
      </w:pPr>
    </w:lvl>
    <w:lvl w:ilvl="5" w:tplc="FF5AEDFA">
      <w:start w:val="1"/>
      <w:numFmt w:val="bullet"/>
      <w:lvlText w:val="■"/>
      <w:lvlJc w:val="left"/>
      <w:pPr>
        <w:ind w:left="4320" w:hanging="360"/>
      </w:pPr>
    </w:lvl>
    <w:lvl w:ilvl="6" w:tplc="179AF0CE">
      <w:start w:val="1"/>
      <w:numFmt w:val="bullet"/>
      <w:lvlText w:val="●"/>
      <w:lvlJc w:val="left"/>
      <w:pPr>
        <w:ind w:left="5040" w:hanging="360"/>
      </w:pPr>
    </w:lvl>
    <w:lvl w:ilvl="7" w:tplc="C1D0E478">
      <w:start w:val="1"/>
      <w:numFmt w:val="bullet"/>
      <w:lvlText w:val="●"/>
      <w:lvlJc w:val="left"/>
      <w:pPr>
        <w:ind w:left="5760" w:hanging="360"/>
      </w:pPr>
    </w:lvl>
    <w:lvl w:ilvl="8" w:tplc="5D145A96">
      <w:start w:val="1"/>
      <w:numFmt w:val="bullet"/>
      <w:lvlText w:val="●"/>
      <w:lvlJc w:val="left"/>
      <w:pPr>
        <w:ind w:left="6480" w:hanging="360"/>
      </w:pPr>
    </w:lvl>
  </w:abstractNum>
  <w:num w:numId="1" w16cid:durableId="4323629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D3F"/>
    <w:rsid w:val="00411D3F"/>
    <w:rsid w:val="00874863"/>
    <w:rsid w:val="00A0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0158D"/>
  <w15:docId w15:val="{11659E9D-6A0B-4E6E-8EFF-F2B6621C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ahmed jadelrab</cp:lastModifiedBy>
  <cp:revision>2</cp:revision>
  <dcterms:created xsi:type="dcterms:W3CDTF">2026-08-12T08:41:00Z</dcterms:created>
  <dcterms:modified xsi:type="dcterms:W3CDTF">2026-08-12T08:41:00Z</dcterms:modified>
</cp:coreProperties>
</file>