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BB69" w14:textId="77777777" w:rsidR="00C05CFF" w:rsidRDefault="00000000">
      <w:pPr>
        <w:spacing w:after="40"/>
      </w:pPr>
      <w:r>
        <w:rPr>
          <w:rFonts w:ascii="Arial" w:eastAsia="Arial" w:hAnsi="Arial" w:cs="Arial"/>
          <w:b/>
          <w:bCs/>
          <w:color w:val="C9A84C"/>
          <w:spacing w:val="80"/>
          <w:sz w:val="18"/>
          <w:szCs w:val="18"/>
        </w:rPr>
        <w:t>FROM COST CENTRE TO VALUE ENGINE</w:t>
      </w:r>
    </w:p>
    <w:p w14:paraId="6C5D8B20" w14:textId="77777777" w:rsidR="00C05CFF" w:rsidRDefault="00000000">
      <w:pPr>
        <w:spacing w:after="40"/>
      </w:pPr>
      <w:r>
        <w:rPr>
          <w:rFonts w:ascii="Arial" w:eastAsia="Arial" w:hAnsi="Arial" w:cs="Arial"/>
          <w:color w:val="C5D2E0"/>
          <w:spacing w:val="40"/>
          <w:sz w:val="18"/>
          <w:szCs w:val="18"/>
        </w:rPr>
        <w:t>PMO-MVM™  ·  Chapter 9 Action Tool</w:t>
      </w:r>
    </w:p>
    <w:p w14:paraId="5BAF3E9D" w14:textId="77777777" w:rsidR="00C05CFF" w:rsidRDefault="00C05CFF">
      <w:pPr>
        <w:pBdr>
          <w:bottom w:val="single" w:sz="12" w:space="1" w:color="C9A84C"/>
        </w:pBdr>
        <w:spacing w:before="100" w:after="100"/>
      </w:pPr>
    </w:p>
    <w:p w14:paraId="6D01EDC4" w14:textId="77777777" w:rsidR="00C05CFF" w:rsidRDefault="00C05CFF">
      <w:pPr>
        <w:spacing w:before="200"/>
      </w:pPr>
    </w:p>
    <w:p w14:paraId="7E0B6525" w14:textId="77777777" w:rsidR="00C05CFF" w:rsidRDefault="00000000">
      <w:pPr>
        <w:spacing w:after="40" w:line="300" w:lineRule="auto"/>
      </w:pPr>
      <w:r>
        <w:rPr>
          <w:rFonts w:ascii="Arial" w:eastAsia="Arial" w:hAnsi="Arial" w:cs="Arial"/>
          <w:b/>
          <w:bCs/>
          <w:color w:val="1B3A6B"/>
          <w:sz w:val="52"/>
          <w:szCs w:val="52"/>
        </w:rPr>
        <w:t>PMO Value Evidence Log™</w:t>
      </w:r>
    </w:p>
    <w:p w14:paraId="163440D8" w14:textId="77777777" w:rsidR="00C05CFF" w:rsidRDefault="00000000">
      <w:pPr>
        <w:spacing w:after="80" w:line="300" w:lineRule="auto"/>
      </w:pPr>
      <w:r>
        <w:rPr>
          <w:i/>
          <w:iCs/>
          <w:color w:val="0D6E6E"/>
          <w:sz w:val="26"/>
          <w:szCs w:val="26"/>
        </w:rPr>
        <w:t xml:space="preserve">Capture, calculate, and communicate every PMO win in the language </w:t>
      </w:r>
      <w:proofErr w:type="gramStart"/>
      <w:r>
        <w:rPr>
          <w:i/>
          <w:iCs/>
          <w:color w:val="0D6E6E"/>
          <w:sz w:val="26"/>
          <w:szCs w:val="26"/>
        </w:rPr>
        <w:t>executives</w:t>
      </w:r>
      <w:proofErr w:type="gramEnd"/>
      <w:r>
        <w:rPr>
          <w:i/>
          <w:iCs/>
          <w:color w:val="0D6E6E"/>
          <w:sz w:val="26"/>
          <w:szCs w:val="26"/>
        </w:rPr>
        <w:t xml:space="preserve"> trust.</w:t>
      </w:r>
    </w:p>
    <w:p w14:paraId="6DA85072" w14:textId="77777777" w:rsidR="00C05CFF" w:rsidRDefault="00C05CFF">
      <w:pPr>
        <w:spacing w:before="200"/>
      </w:pPr>
    </w:p>
    <w:p w14:paraId="6D23052C" w14:textId="77777777" w:rsidR="00C05CFF" w:rsidRDefault="00C05CFF">
      <w:pPr>
        <w:pBdr>
          <w:bottom w:val="single" w:sz="4" w:space="1" w:color="1B3A6B"/>
        </w:pBdr>
        <w:spacing w:before="100" w:after="100"/>
      </w:pPr>
    </w:p>
    <w:p w14:paraId="738A4837" w14:textId="77777777" w:rsidR="00C05CFF" w:rsidRDefault="00C05CFF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33920050" w14:textId="77777777">
        <w:tc>
          <w:tcPr>
            <w:tcW w:w="9360" w:type="dxa"/>
            <w:tcBorders>
              <w:top w:val="single" w:sz="8" w:space="0" w:color="C9A84C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DF8EC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1B016117" w14:textId="77777777" w:rsidR="00C05CFF" w:rsidRDefault="00000000">
            <w:pPr>
              <w:spacing w:after="80" w:line="30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1B3A6B"/>
              </w:rPr>
              <w:t>What this tool gives you</w:t>
            </w:r>
          </w:p>
          <w:p w14:paraId="1EF6739E" w14:textId="77777777" w:rsidR="00C05CFF" w:rsidRDefault="00000000">
            <w:pPr>
              <w:spacing w:after="60" w:line="320" w:lineRule="auto"/>
              <w:jc w:val="center"/>
            </w:pPr>
            <w:r>
              <w:rPr>
                <w:color w:val="333333"/>
                <w:sz w:val="21"/>
                <w:szCs w:val="21"/>
              </w:rPr>
              <w:t>A replicable system for documenting PMO interventions as executive-grade proof — structured identically to the ADNOC, TAQA, and EY MENA case studies in Chapter 9. Designed to be completed in 30–60 minutes per entry. Built to survive a budget review.</w:t>
            </w:r>
          </w:p>
          <w:p w14:paraId="6FBE3A14" w14:textId="77777777" w:rsidR="00C05CFF" w:rsidRDefault="00C05CFF">
            <w:pPr>
              <w:spacing w:before="80"/>
            </w:pPr>
          </w:p>
          <w:tbl>
            <w:tblPr>
              <w:tblW w:w="88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960"/>
              <w:gridCol w:w="2960"/>
              <w:gridCol w:w="2960"/>
            </w:tblGrid>
            <w:tr w:rsidR="00C05CFF" w14:paraId="11BFDCE0" w14:textId="77777777">
              <w:tc>
                <w:tcPr>
                  <w:tcW w:w="296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F3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 w14:paraId="6FC70E9E" w14:textId="77777777" w:rsidR="00C05CFF" w:rsidRDefault="00000000">
                  <w:pPr>
                    <w:spacing w:after="40" w:line="260" w:lineRule="auto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color w:val="0D6E6E"/>
                      <w:spacing w:val="40"/>
                      <w:sz w:val="18"/>
                      <w:szCs w:val="18"/>
                    </w:rPr>
                    <w:t>SECTION 1</w:t>
                  </w:r>
                </w:p>
                <w:p w14:paraId="4288BF41" w14:textId="77777777" w:rsidR="00C05CFF" w:rsidRDefault="00000000">
                  <w:pPr>
                    <w:spacing w:line="260" w:lineRule="auto"/>
                    <w:jc w:val="center"/>
                  </w:pPr>
                  <w:r>
                    <w:rPr>
                      <w:i/>
                      <w:iCs/>
                      <w:color w:val="333333"/>
                      <w:sz w:val="19"/>
                      <w:szCs w:val="19"/>
                    </w:rPr>
                    <w:t>Situation · Intervention · Result</w:t>
                  </w:r>
                </w:p>
              </w:tc>
              <w:tc>
                <w:tcPr>
                  <w:tcW w:w="296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F3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 w14:paraId="131E0432" w14:textId="77777777" w:rsidR="00C05CFF" w:rsidRDefault="00000000">
                  <w:pPr>
                    <w:spacing w:after="40" w:line="260" w:lineRule="auto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color w:val="0D6E6E"/>
                      <w:spacing w:val="40"/>
                      <w:sz w:val="18"/>
                      <w:szCs w:val="18"/>
                    </w:rPr>
                    <w:t>SECTION 2</w:t>
                  </w:r>
                </w:p>
                <w:p w14:paraId="0193B501" w14:textId="77777777" w:rsidR="00C05CFF" w:rsidRDefault="00000000">
                  <w:pPr>
                    <w:spacing w:line="260" w:lineRule="auto"/>
                    <w:jc w:val="center"/>
                  </w:pPr>
                  <w:r>
                    <w:rPr>
                      <w:i/>
                      <w:iCs/>
                      <w:color w:val="333333"/>
                      <w:sz w:val="19"/>
                      <w:szCs w:val="19"/>
                    </w:rPr>
                    <w:t>Business Outcome Statement Formula</w:t>
                  </w:r>
                </w:p>
              </w:tc>
              <w:tc>
                <w:tcPr>
                  <w:tcW w:w="296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F3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 w14:paraId="1A939BBE" w14:textId="77777777" w:rsidR="00C05CFF" w:rsidRDefault="00000000">
                  <w:pPr>
                    <w:spacing w:after="40" w:line="260" w:lineRule="auto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color w:val="0D6E6E"/>
                      <w:spacing w:val="40"/>
                      <w:sz w:val="18"/>
                      <w:szCs w:val="18"/>
                    </w:rPr>
                    <w:t>SECTION 3</w:t>
                  </w:r>
                </w:p>
                <w:p w14:paraId="2BCA7A3A" w14:textId="77777777" w:rsidR="00C05CFF" w:rsidRDefault="00000000">
                  <w:pPr>
                    <w:spacing w:line="260" w:lineRule="auto"/>
                    <w:jc w:val="center"/>
                  </w:pPr>
                  <w:r w:rsidRPr="007457CE">
                    <w:rPr>
                      <w:b/>
                      <w:bCs/>
                      <w:i/>
                      <w:iCs/>
                      <w:color w:val="333333"/>
                      <w:sz w:val="19"/>
                      <w:szCs w:val="19"/>
                    </w:rPr>
                    <w:t>ROI</w:t>
                  </w:r>
                  <w:r>
                    <w:rPr>
                      <w:i/>
                      <w:iCs/>
                      <w:color w:val="333333"/>
                      <w:sz w:val="19"/>
                      <w:szCs w:val="19"/>
                    </w:rPr>
                    <w:t xml:space="preserve"> </w:t>
                  </w:r>
                  <w:r w:rsidRPr="007457CE">
                    <w:rPr>
                      <w:b/>
                      <w:bCs/>
                      <w:i/>
                      <w:iCs/>
                      <w:color w:val="333333"/>
                      <w:sz w:val="19"/>
                      <w:szCs w:val="19"/>
                    </w:rPr>
                    <w:t>Calculation</w:t>
                  </w:r>
                  <w:r>
                    <w:rPr>
                      <w:i/>
                      <w:iCs/>
                      <w:color w:val="333333"/>
                      <w:sz w:val="19"/>
                      <w:szCs w:val="19"/>
                    </w:rPr>
                    <w:t xml:space="preserve"> Template</w:t>
                  </w:r>
                </w:p>
              </w:tc>
            </w:tr>
          </w:tbl>
          <w:p w14:paraId="08893862" w14:textId="77777777" w:rsidR="00C05CFF" w:rsidRDefault="00C05CFF">
            <w:pPr>
              <w:spacing w:before="80"/>
            </w:pPr>
          </w:p>
          <w:tbl>
            <w:tblPr>
              <w:tblW w:w="888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440"/>
              <w:gridCol w:w="4440"/>
            </w:tblGrid>
            <w:tr w:rsidR="00C05CFF" w14:paraId="7E90FADB" w14:textId="77777777">
              <w:tc>
                <w:tcPr>
                  <w:tcW w:w="44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F3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 w14:paraId="1344CFDF" w14:textId="77777777" w:rsidR="00C05CFF" w:rsidRDefault="00000000">
                  <w:pPr>
                    <w:spacing w:after="40" w:line="260" w:lineRule="auto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color w:val="0D6E6E"/>
                      <w:spacing w:val="40"/>
                      <w:sz w:val="18"/>
                      <w:szCs w:val="18"/>
                    </w:rPr>
                    <w:t>SECTION 4</w:t>
                  </w:r>
                </w:p>
                <w:p w14:paraId="51E76C0C" w14:textId="77777777" w:rsidR="00C05CFF" w:rsidRDefault="00000000">
                  <w:pPr>
                    <w:spacing w:line="260" w:lineRule="auto"/>
                    <w:jc w:val="center"/>
                  </w:pPr>
                  <w:r>
                    <w:rPr>
                      <w:i/>
                      <w:iCs/>
                      <w:color w:val="333333"/>
                      <w:sz w:val="19"/>
                      <w:szCs w:val="19"/>
                    </w:rPr>
                    <w:t>Your Case Study Builder — Blank Canvas</w:t>
                  </w:r>
                </w:p>
              </w:tc>
              <w:tc>
                <w:tcPr>
                  <w:tcW w:w="4440" w:type="dxa"/>
                  <w:tcBorders>
                    <w:top w:val="none" w:sz="0" w:space="0" w:color="FFFFFF"/>
                    <w:left w:val="none" w:sz="0" w:space="0" w:color="FFFFFF"/>
                    <w:bottom w:val="none" w:sz="0" w:space="0" w:color="FFFFFF"/>
                    <w:right w:val="none" w:sz="0" w:space="0" w:color="FFFFFF"/>
                  </w:tcBorders>
                  <w:shd w:val="clear" w:color="auto" w:fill="EEF3FA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</w:tcPr>
                <w:p w14:paraId="3628FC3D" w14:textId="77777777" w:rsidR="00C05CFF" w:rsidRDefault="00000000">
                  <w:pPr>
                    <w:spacing w:after="40" w:line="260" w:lineRule="auto"/>
                    <w:jc w:val="center"/>
                  </w:pPr>
                  <w:r>
                    <w:rPr>
                      <w:rFonts w:ascii="Arial" w:eastAsia="Arial" w:hAnsi="Arial" w:cs="Arial"/>
                      <w:b/>
                      <w:bCs/>
                      <w:color w:val="0D6E6E"/>
                      <w:spacing w:val="40"/>
                      <w:sz w:val="18"/>
                      <w:szCs w:val="18"/>
                    </w:rPr>
                    <w:t>SECTION 5</w:t>
                  </w:r>
                </w:p>
                <w:p w14:paraId="5D61734B" w14:textId="77777777" w:rsidR="00C05CFF" w:rsidRDefault="00000000">
                  <w:pPr>
                    <w:spacing w:line="260" w:lineRule="auto"/>
                    <w:jc w:val="center"/>
                  </w:pPr>
                  <w:r>
                    <w:rPr>
                      <w:i/>
                      <w:iCs/>
                      <w:color w:val="333333"/>
                      <w:sz w:val="19"/>
                      <w:szCs w:val="19"/>
                    </w:rPr>
                    <w:t>Quick Wins &amp; Proof Points Log</w:t>
                  </w:r>
                </w:p>
              </w:tc>
            </w:tr>
          </w:tbl>
          <w:p w14:paraId="1AF49201" w14:textId="77777777" w:rsidR="00C05CFF" w:rsidRDefault="00C05CFF"/>
        </w:tc>
      </w:tr>
    </w:tbl>
    <w:p w14:paraId="0322CFA3" w14:textId="77777777" w:rsidR="00C05CFF" w:rsidRDefault="00C05CFF">
      <w:pPr>
        <w:spacing w:before="240"/>
      </w:pPr>
    </w:p>
    <w:p w14:paraId="69845A22" w14:textId="77777777" w:rsidR="00C05CFF" w:rsidRDefault="00000000">
      <w:pPr>
        <w:jc w:val="center"/>
      </w:pPr>
      <w:r>
        <w:rPr>
          <w:rFonts w:ascii="Arial" w:eastAsia="Arial" w:hAnsi="Arial" w:cs="Arial"/>
          <w:color w:val="666666"/>
          <w:sz w:val="18"/>
          <w:szCs w:val="18"/>
        </w:rPr>
        <w:t>RUN PMO Consulting™  ·  runpmoconsulting.com  ·  Ahmed Jadelrab, Founder &amp; CEO</w:t>
      </w:r>
    </w:p>
    <w:p w14:paraId="1582B3DB" w14:textId="77777777" w:rsidR="00C05CFF" w:rsidRDefault="00000000">
      <w:pPr>
        <w:jc w:val="center"/>
      </w:pPr>
      <w:r>
        <w:rPr>
          <w:rFonts w:ascii="Arial" w:eastAsia="Arial" w:hAnsi="Arial" w:cs="Arial"/>
          <w:color w:val="666666"/>
          <w:sz w:val="18"/>
          <w:szCs w:val="18"/>
        </w:rPr>
        <w:t>© RUN PMO Consulting™. All rights reserved. PMO-MVM™ is a proprietary framework.</w:t>
      </w:r>
    </w:p>
    <w:p w14:paraId="523A9972" w14:textId="77777777" w:rsidR="00C05CFF" w:rsidRDefault="00C05CFF">
      <w:pPr>
        <w:pageBreakBefore/>
      </w:pPr>
    </w:p>
    <w:p w14:paraId="2D1D8FCB" w14:textId="77777777" w:rsidR="00C05CFF" w:rsidRDefault="00000000">
      <w:pPr>
        <w:spacing w:after="60"/>
      </w:pPr>
      <w:r>
        <w:rPr>
          <w:rFonts w:ascii="Arial" w:eastAsia="Arial" w:hAnsi="Arial" w:cs="Arial"/>
          <w:b/>
          <w:bCs/>
          <w:color w:val="0D6E6E"/>
          <w:spacing w:val="60"/>
          <w:sz w:val="19"/>
          <w:szCs w:val="19"/>
        </w:rPr>
        <w:t>BEFORE YOU BEGIN</w:t>
      </w:r>
    </w:p>
    <w:p w14:paraId="62222F5E" w14:textId="77777777" w:rsidR="00C05CFF" w:rsidRDefault="00000000">
      <w:pPr>
        <w:spacing w:before="60" w:after="160" w:line="300" w:lineRule="auto"/>
      </w:pPr>
      <w:r>
        <w:rPr>
          <w:rFonts w:ascii="Arial" w:eastAsia="Arial" w:hAnsi="Arial" w:cs="Arial"/>
          <w:b/>
          <w:bCs/>
          <w:color w:val="1B3A6B"/>
          <w:sz w:val="34"/>
          <w:szCs w:val="34"/>
        </w:rPr>
        <w:t>How to Use the PMO Value Evidence Log™</w:t>
      </w:r>
    </w:p>
    <w:p w14:paraId="54801412" w14:textId="77777777" w:rsidR="00C05CFF" w:rsidRDefault="00C05CFF">
      <w:pPr>
        <w:pBdr>
          <w:bottom w:val="single" w:sz="6" w:space="1" w:color="C9A84C"/>
        </w:pBdr>
        <w:spacing w:before="100" w:after="100"/>
      </w:pPr>
    </w:p>
    <w:p w14:paraId="508ED818" w14:textId="77777777" w:rsidR="00C05CFF" w:rsidRDefault="00C05CFF">
      <w:pPr>
        <w:spacing w:before="160"/>
      </w:pPr>
    </w:p>
    <w:p w14:paraId="1304FD98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 xml:space="preserve">Most PMO leaders are sitting on evidence they have never written down. A decision that was made faster because the PMO surfaced the intelligence. A risk that was avoided because the PMO escalated early. A benefit that was realised because someone tracked it through to confirmation. That evidence exists. It is simply not in a form that executives find compelling — or that budget sponsors </w:t>
      </w:r>
      <w:proofErr w:type="gramStart"/>
      <w:r>
        <w:rPr>
          <w:color w:val="333333"/>
          <w:sz w:val="21"/>
          <w:szCs w:val="21"/>
        </w:rPr>
        <w:t>find</w:t>
      </w:r>
      <w:proofErr w:type="gramEnd"/>
      <w:r>
        <w:rPr>
          <w:color w:val="333333"/>
          <w:sz w:val="21"/>
          <w:szCs w:val="21"/>
        </w:rPr>
        <w:t xml:space="preserve"> difficult to argue with.</w:t>
      </w:r>
    </w:p>
    <w:p w14:paraId="418160C6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 xml:space="preserve">This tool changes that. The PMO Value Evidence Log™ gives you a structured, repeatable system for capturing PMO outcomes in </w:t>
      </w:r>
      <w:proofErr w:type="gramStart"/>
      <w:r>
        <w:rPr>
          <w:color w:val="333333"/>
          <w:sz w:val="21"/>
          <w:szCs w:val="21"/>
        </w:rPr>
        <w:t>exactly the same</w:t>
      </w:r>
      <w:proofErr w:type="gramEnd"/>
      <w:r>
        <w:rPr>
          <w:color w:val="333333"/>
          <w:sz w:val="21"/>
          <w:szCs w:val="21"/>
        </w:rPr>
        <w:t xml:space="preserve"> format used in the three confirmed case studies in Chapter 9: ADNOC, TAQA, and EY MENA.</w:t>
      </w:r>
    </w:p>
    <w:p w14:paraId="1B6A5A62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>Each completed entry in this log is a proof point. A set of completed entries is a credibility file. A credibility file is the difference between a PMO that is vulnerable at budget time and a PMO that is defended.</w:t>
      </w:r>
    </w:p>
    <w:p w14:paraId="5A1A1BE5" w14:textId="77777777" w:rsidR="00C05CFF" w:rsidRDefault="00C05CF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74C3C771" w14:textId="77777777">
        <w:tc>
          <w:tcPr>
            <w:tcW w:w="9360" w:type="dxa"/>
            <w:tcBorders>
              <w:top w:val="single" w:sz="8" w:space="0" w:color="C9A84C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DF8E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36AD062B" w14:textId="77777777" w:rsidR="00C05CF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A84C"/>
                <w:spacing w:val="40"/>
                <w:sz w:val="19"/>
                <w:szCs w:val="19"/>
              </w:rPr>
              <w:t>THE GOLDEN RULE</w:t>
            </w:r>
          </w:p>
          <w:p w14:paraId="26D281A1" w14:textId="77777777" w:rsidR="00C05CFF" w:rsidRDefault="00000000">
            <w:pPr>
              <w:spacing w:line="300" w:lineRule="auto"/>
              <w:jc w:val="both"/>
            </w:pPr>
            <w:r>
              <w:rPr>
                <w:color w:val="333333"/>
                <w:sz w:val="21"/>
                <w:szCs w:val="21"/>
              </w:rPr>
              <w:t xml:space="preserve">Never capture a win retrospectively if you can capture it in real time. The moment a </w:t>
            </w:r>
            <w:proofErr w:type="gramStart"/>
            <w:r>
              <w:rPr>
                <w:color w:val="333333"/>
                <w:sz w:val="21"/>
                <w:szCs w:val="21"/>
              </w:rPr>
              <w:t>metric shifts</w:t>
            </w:r>
            <w:proofErr w:type="gramEnd"/>
            <w:r>
              <w:rPr>
                <w:color w:val="333333"/>
                <w:sz w:val="21"/>
                <w:szCs w:val="21"/>
              </w:rPr>
              <w:t xml:space="preserve"> — note the baseline, note the change, note what the PMO did. That note, captured in 10 minutes now, </w:t>
            </w:r>
            <w:proofErr w:type="gramStart"/>
            <w:r>
              <w:rPr>
                <w:color w:val="333333"/>
                <w:sz w:val="21"/>
                <w:szCs w:val="21"/>
              </w:rPr>
              <w:t>becomes</w:t>
            </w:r>
            <w:proofErr w:type="gramEnd"/>
            <w:r>
              <w:rPr>
                <w:color w:val="333333"/>
                <w:sz w:val="21"/>
                <w:szCs w:val="21"/>
              </w:rPr>
              <w:t xml:space="preserve"> a compelling case study in 90 days.</w:t>
            </w:r>
          </w:p>
        </w:tc>
      </w:tr>
    </w:tbl>
    <w:p w14:paraId="15C71E9C" w14:textId="77777777" w:rsidR="00C05CFF" w:rsidRDefault="00C05CFF">
      <w:pPr>
        <w:spacing w:before="200"/>
      </w:pPr>
    </w:p>
    <w:p w14:paraId="12EDF129" w14:textId="77777777" w:rsidR="00C05CFF" w:rsidRDefault="00000000">
      <w:pPr>
        <w:spacing w:before="200" w:after="80" w:line="280" w:lineRule="auto"/>
      </w:pPr>
      <w:r>
        <w:rPr>
          <w:rFonts w:ascii="Arial" w:eastAsia="Arial" w:hAnsi="Arial" w:cs="Arial"/>
          <w:b/>
          <w:bCs/>
          <w:color w:val="1B3A6B"/>
        </w:rPr>
        <w:t>What Each Section Is For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2160"/>
        <w:gridCol w:w="5760"/>
      </w:tblGrid>
      <w:tr w:rsidR="00C05CFF" w14:paraId="209DDD72" w14:textId="77777777"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D4964FF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Section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3B45FD5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Name</w:t>
            </w:r>
          </w:p>
        </w:tc>
        <w:tc>
          <w:tcPr>
            <w:tcW w:w="57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CD3604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Purpose</w:t>
            </w:r>
          </w:p>
        </w:tc>
      </w:tr>
      <w:tr w:rsidR="00C05CFF" w14:paraId="466F6E95" w14:textId="77777777"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451569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</w:rPr>
              <w:t>1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53436B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SIR Framework™</w:t>
            </w:r>
          </w:p>
        </w:tc>
        <w:tc>
          <w:tcPr>
            <w:tcW w:w="57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14E5DC0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20"/>
                <w:szCs w:val="20"/>
              </w:rPr>
              <w:t>Document the Situation, Intervention, and Result for one PMO outcome. This is the core evidence record.</w:t>
            </w:r>
          </w:p>
        </w:tc>
      </w:tr>
      <w:tr w:rsidR="00C05CFF" w14:paraId="0D00C080" w14:textId="77777777"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F2302F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</w:rPr>
              <w:t>2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52F3DAF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Business Outcome Statement Formula™</w:t>
            </w:r>
          </w:p>
        </w:tc>
        <w:tc>
          <w:tcPr>
            <w:tcW w:w="57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5E4EC6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20"/>
                <w:szCs w:val="20"/>
              </w:rPr>
              <w:t>Convert your evidence into a single, executive-grade sentence using the proven formula from the three case studies.</w:t>
            </w:r>
          </w:p>
        </w:tc>
      </w:tr>
      <w:tr w:rsidR="00C05CFF" w14:paraId="7CE4A315" w14:textId="77777777"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0E5954F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</w:rPr>
              <w:t>3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DFB59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ROI Calculation Template</w:t>
            </w:r>
          </w:p>
        </w:tc>
        <w:tc>
          <w:tcPr>
            <w:tcW w:w="57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C064B7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20"/>
                <w:szCs w:val="20"/>
              </w:rPr>
              <w:t>Quantify the financial return — or directional value — of a specific PMO intervention. Designed for non-finance PMO leaders.</w:t>
            </w:r>
          </w:p>
        </w:tc>
      </w:tr>
      <w:tr w:rsidR="00C05CFF" w14:paraId="2A1621B5" w14:textId="77777777"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515E54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</w:rPr>
              <w:t>4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9CA68A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Case Study Builder</w:t>
            </w:r>
          </w:p>
        </w:tc>
        <w:tc>
          <w:tcPr>
            <w:tcW w:w="57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ADD6CB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20"/>
                <w:szCs w:val="20"/>
              </w:rPr>
              <w:t>Assemble a full, formatted case study ready for inclusion in a proposal, a board update, or a budget defence — modelled on the ADNOC / TAQA / EY MENA format.</w:t>
            </w:r>
          </w:p>
        </w:tc>
      </w:tr>
      <w:tr w:rsidR="00C05CFF" w14:paraId="0E10C880" w14:textId="77777777"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17EF2D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</w:rPr>
              <w:t>5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3F63B1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Quick Wins Log</w:t>
            </w:r>
          </w:p>
        </w:tc>
        <w:tc>
          <w:tcPr>
            <w:tcW w:w="57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E06F0C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20"/>
                <w:szCs w:val="20"/>
              </w:rPr>
              <w:t>A running register of smaller proof points — single sentences, quantified — that feed proposals, LinkedIn posts, and stakeholder updates.</w:t>
            </w:r>
          </w:p>
        </w:tc>
      </w:tr>
    </w:tbl>
    <w:p w14:paraId="34E87F43" w14:textId="77777777" w:rsidR="00C05CFF" w:rsidRDefault="00C05CFF">
      <w:pPr>
        <w:spacing w:before="200"/>
      </w:pPr>
    </w:p>
    <w:p w14:paraId="5666FFFC" w14:textId="77777777" w:rsidR="00C05CFF" w:rsidRDefault="00000000">
      <w:pPr>
        <w:spacing w:before="200" w:after="80" w:line="280" w:lineRule="auto"/>
      </w:pPr>
      <w:r>
        <w:rPr>
          <w:rFonts w:ascii="Arial" w:eastAsia="Arial" w:hAnsi="Arial" w:cs="Arial"/>
          <w:b/>
          <w:bCs/>
          <w:color w:val="1B3A6B"/>
        </w:rPr>
        <w:t>Minimum Standard: What Makes a Valid Entry</w:t>
      </w:r>
    </w:p>
    <w:p w14:paraId="48774DCC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 xml:space="preserve">Not every evidence entry needs to be a full case study. The minimum standard for </w:t>
      </w:r>
      <w:proofErr w:type="gramStart"/>
      <w:r>
        <w:rPr>
          <w:color w:val="333333"/>
          <w:sz w:val="21"/>
          <w:szCs w:val="21"/>
        </w:rPr>
        <w:t>a valid</w:t>
      </w:r>
      <w:proofErr w:type="gramEnd"/>
      <w:r>
        <w:rPr>
          <w:color w:val="333333"/>
          <w:sz w:val="21"/>
          <w:szCs w:val="21"/>
        </w:rPr>
        <w:t xml:space="preserve"> entry is:</w:t>
      </w:r>
    </w:p>
    <w:p w14:paraId="23F0707D" w14:textId="77777777" w:rsidR="00C05CFF" w:rsidRDefault="00000000">
      <w:pPr>
        <w:pStyle w:val="ListParagraph"/>
        <w:numPr>
          <w:ilvl w:val="0"/>
          <w:numId w:val="2"/>
        </w:numPr>
        <w:spacing w:before="40" w:after="60" w:line="300" w:lineRule="auto"/>
      </w:pPr>
      <w:r>
        <w:rPr>
          <w:color w:val="333333"/>
          <w:sz w:val="21"/>
          <w:szCs w:val="21"/>
        </w:rPr>
        <w:t>A specific Before condition — not 'reporting was poor' but 'executive decisions were delayed by an average of 11 days due to incomplete portfolio data'.</w:t>
      </w:r>
    </w:p>
    <w:p w14:paraId="5A183C08" w14:textId="77777777" w:rsidR="00C05CFF" w:rsidRDefault="00000000">
      <w:pPr>
        <w:pStyle w:val="ListParagraph"/>
        <w:numPr>
          <w:ilvl w:val="0"/>
          <w:numId w:val="2"/>
        </w:numPr>
        <w:spacing w:before="40" w:after="60" w:line="300" w:lineRule="auto"/>
      </w:pPr>
      <w:r>
        <w:rPr>
          <w:color w:val="333333"/>
          <w:sz w:val="21"/>
          <w:szCs w:val="21"/>
        </w:rPr>
        <w:t>A specific PMO intervention — what you designed, built, introduced, or changed.</w:t>
      </w:r>
    </w:p>
    <w:p w14:paraId="6EC3E9D4" w14:textId="77777777" w:rsidR="00C05CFF" w:rsidRDefault="00000000">
      <w:pPr>
        <w:pStyle w:val="ListParagraph"/>
        <w:numPr>
          <w:ilvl w:val="0"/>
          <w:numId w:val="2"/>
        </w:numPr>
        <w:spacing w:before="40" w:after="60" w:line="300" w:lineRule="auto"/>
      </w:pPr>
      <w:r>
        <w:rPr>
          <w:color w:val="333333"/>
          <w:sz w:val="21"/>
          <w:szCs w:val="21"/>
        </w:rPr>
        <w:t>A specific After condition — quantified wherever possible. Direction of change if not yet measurable in numbers.</w:t>
      </w:r>
    </w:p>
    <w:p w14:paraId="6CEE4B92" w14:textId="77777777" w:rsidR="00C05CFF" w:rsidRDefault="00000000">
      <w:pPr>
        <w:pStyle w:val="ListParagraph"/>
        <w:numPr>
          <w:ilvl w:val="0"/>
          <w:numId w:val="2"/>
        </w:numPr>
        <w:spacing w:before="40" w:after="60" w:line="300" w:lineRule="auto"/>
      </w:pPr>
      <w:r>
        <w:rPr>
          <w:color w:val="333333"/>
          <w:sz w:val="21"/>
          <w:szCs w:val="21"/>
        </w:rPr>
        <w:t>A date range — when did the Before condition exist, and when was the After condition confirmed?</w:t>
      </w:r>
    </w:p>
    <w:p w14:paraId="0CD60D10" w14:textId="77777777" w:rsidR="00C05CFF" w:rsidRDefault="00000000">
      <w:pPr>
        <w:pStyle w:val="ListParagraph"/>
        <w:numPr>
          <w:ilvl w:val="0"/>
          <w:numId w:val="2"/>
        </w:numPr>
        <w:spacing w:before="40" w:after="60" w:line="300" w:lineRule="auto"/>
      </w:pPr>
      <w:r>
        <w:rPr>
          <w:color w:val="333333"/>
          <w:sz w:val="21"/>
          <w:szCs w:val="21"/>
        </w:rPr>
        <w:t>A source — governance minutes, dashboard data, sponsor statement. The source is what makes it evidence rather than opinion.</w:t>
      </w:r>
    </w:p>
    <w:p w14:paraId="0ABFDD62" w14:textId="77777777" w:rsidR="00C05CFF" w:rsidRDefault="00C05CFF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1B528522" w14:textId="77777777">
        <w:tc>
          <w:tcPr>
            <w:tcW w:w="9360" w:type="dxa"/>
            <w:tcBorders>
              <w:top w:val="single" w:sz="8" w:space="0" w:color="0D6E6E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D9C9F69" w14:textId="77777777" w:rsidR="00C05CF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D6E6E"/>
                <w:spacing w:val="40"/>
                <w:sz w:val="19"/>
                <w:szCs w:val="19"/>
              </w:rPr>
              <w:t>PERMISSION NOTE</w:t>
            </w:r>
          </w:p>
          <w:p w14:paraId="7C9C82CA" w14:textId="77777777" w:rsidR="00C05CFF" w:rsidRDefault="00000000">
            <w:pPr>
              <w:spacing w:line="300" w:lineRule="auto"/>
              <w:jc w:val="both"/>
            </w:pPr>
            <w:r>
              <w:rPr>
                <w:color w:val="333333"/>
                <w:sz w:val="21"/>
                <w:szCs w:val="21"/>
              </w:rPr>
              <w:t>Before including any case study in a public document, proposal, or presentation, confirm permission with the relevant stakeholder or organisation. This log has a Permission Status field for every entry. Respect it. Unnamed entries with confirmed metrics are often more credible than named entries without them.</w:t>
            </w:r>
          </w:p>
        </w:tc>
      </w:tr>
    </w:tbl>
    <w:p w14:paraId="47CA25AB" w14:textId="77777777" w:rsidR="00C05CFF" w:rsidRDefault="00C05CFF">
      <w:pPr>
        <w:pageBreakBefore/>
      </w:pPr>
    </w:p>
    <w:p w14:paraId="3113F36E" w14:textId="77777777" w:rsidR="00C05CFF" w:rsidRDefault="00000000">
      <w:pPr>
        <w:spacing w:after="60"/>
      </w:pPr>
      <w:r>
        <w:rPr>
          <w:rFonts w:ascii="Arial" w:eastAsia="Arial" w:hAnsi="Arial" w:cs="Arial"/>
          <w:b/>
          <w:bCs/>
          <w:color w:val="C9A84C"/>
          <w:spacing w:val="80"/>
          <w:sz w:val="19"/>
          <w:szCs w:val="19"/>
        </w:rPr>
        <w:t>SECTION 1</w:t>
      </w:r>
    </w:p>
    <w:p w14:paraId="656E826C" w14:textId="77777777" w:rsidR="00C05CFF" w:rsidRDefault="00000000">
      <w:pPr>
        <w:spacing w:before="60" w:after="80" w:line="300" w:lineRule="auto"/>
      </w:pPr>
      <w:r>
        <w:rPr>
          <w:rFonts w:ascii="Arial" w:eastAsia="Arial" w:hAnsi="Arial" w:cs="Arial"/>
          <w:b/>
          <w:bCs/>
          <w:color w:val="1B3A6B"/>
          <w:sz w:val="36"/>
          <w:szCs w:val="36"/>
        </w:rPr>
        <w:t>The SIR Framework™</w:t>
      </w:r>
    </w:p>
    <w:p w14:paraId="5B8E63AA" w14:textId="77777777" w:rsidR="00C05CFF" w:rsidRDefault="00000000">
      <w:pPr>
        <w:spacing w:after="240" w:line="300" w:lineRule="auto"/>
      </w:pPr>
      <w:r>
        <w:rPr>
          <w:i/>
          <w:iCs/>
          <w:color w:val="0D6E6E"/>
        </w:rPr>
        <w:t>Situation · Intervention · Result — the three-field evidence structure</w:t>
      </w:r>
    </w:p>
    <w:p w14:paraId="00926952" w14:textId="77777777" w:rsidR="00C05CFF" w:rsidRDefault="00C05CFF">
      <w:pPr>
        <w:pBdr>
          <w:bottom w:val="single" w:sz="6" w:space="1" w:color="C9A84C"/>
        </w:pBdr>
        <w:spacing w:before="100" w:after="100"/>
      </w:pPr>
    </w:p>
    <w:p w14:paraId="0BDF2C3C" w14:textId="77777777" w:rsidR="00C05CFF" w:rsidRDefault="00C05CFF">
      <w:pPr>
        <w:spacing w:before="160"/>
      </w:pPr>
    </w:p>
    <w:p w14:paraId="0BB0AB2E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 xml:space="preserve">Every credible PMO case study in Chapter 9 follows the same three-part structure: what the situation was before the PMO acted, what the PMO </w:t>
      </w:r>
      <w:proofErr w:type="gramStart"/>
      <w:r>
        <w:rPr>
          <w:color w:val="333333"/>
          <w:sz w:val="21"/>
          <w:szCs w:val="21"/>
        </w:rPr>
        <w:t>actually did</w:t>
      </w:r>
      <w:proofErr w:type="gramEnd"/>
      <w:r>
        <w:rPr>
          <w:color w:val="333333"/>
          <w:sz w:val="21"/>
          <w:szCs w:val="21"/>
        </w:rPr>
        <w:t>, and what measurably changed as a result. This section gives you that structure in a form you can complete in under an hour — and use directly in any governance document, proposal, or executive briefing.</w:t>
      </w:r>
    </w:p>
    <w:p w14:paraId="13A3B73A" w14:textId="77777777" w:rsidR="00C05CFF" w:rsidRDefault="00C05CFF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1D4B3DB4" w14:textId="77777777">
        <w:tc>
          <w:tcPr>
            <w:tcW w:w="9360" w:type="dxa"/>
            <w:tcBorders>
              <w:top w:val="single" w:sz="8" w:space="0" w:color="C9A84C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DF8E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0AB8EE0C" w14:textId="77777777" w:rsidR="00C05CF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A84C"/>
                <w:spacing w:val="40"/>
                <w:sz w:val="19"/>
                <w:szCs w:val="19"/>
              </w:rPr>
              <w:t>WORKED EXAMPLE  ·  ADNOC (Chapter 9, Case Study 03)</w:t>
            </w:r>
          </w:p>
          <w:p w14:paraId="73910681" w14:textId="77777777" w:rsidR="00C05CFF" w:rsidRDefault="00000000">
            <w:pPr>
              <w:spacing w:after="40" w:line="300" w:lineRule="auto"/>
              <w:jc w:val="both"/>
            </w:pPr>
            <w:r>
              <w:rPr>
                <w:color w:val="333333"/>
                <w:sz w:val="21"/>
                <w:szCs w:val="21"/>
              </w:rPr>
              <w:t>SITUATION: Vendor delivery shortfalls were being absorbed informally at delivery team level. Neither the PMO nor the commercial team had a structured process for identifying, escalating, or recovering contract penalties. Significant contractual value was invisible and unrecovered.</w:t>
            </w:r>
          </w:p>
          <w:p w14:paraId="1DB377A4" w14:textId="77777777" w:rsidR="00C05CFF" w:rsidRDefault="00000000">
            <w:pPr>
              <w:spacing w:after="40" w:line="300" w:lineRule="auto"/>
              <w:jc w:val="both"/>
            </w:pPr>
            <w:r>
              <w:rPr>
                <w:color w:val="333333"/>
                <w:sz w:val="21"/>
                <w:szCs w:val="21"/>
              </w:rPr>
              <w:t xml:space="preserve">INTERVENTION: Established a formal Vendor Performance &amp; Accountability Framework, co-owned by the PMO and Commercial Director. Introduced a Delivery–Commercial Value Bridge process. </w:t>
            </w:r>
            <w:proofErr w:type="gramStart"/>
            <w:r>
              <w:rPr>
                <w:color w:val="333333"/>
                <w:sz w:val="21"/>
                <w:szCs w:val="21"/>
              </w:rPr>
              <w:t>Rebuilt</w:t>
            </w:r>
            <w:proofErr w:type="gramEnd"/>
            <w:r>
              <w:rPr>
                <w:color w:val="333333"/>
                <w:sz w:val="21"/>
                <w:szCs w:val="21"/>
              </w:rPr>
              <w:t xml:space="preserve"> executive dashboards to surface investment burn and benefits realisation status.</w:t>
            </w:r>
          </w:p>
          <w:p w14:paraId="090198B0" w14:textId="77777777" w:rsidR="00C05CFF" w:rsidRDefault="00000000">
            <w:pPr>
              <w:spacing w:after="40" w:line="300" w:lineRule="auto"/>
              <w:jc w:val="both"/>
            </w:pPr>
            <w:r>
              <w:rPr>
                <w:color w:val="333333"/>
                <w:sz w:val="21"/>
                <w:szCs w:val="21"/>
              </w:rPr>
              <w:t xml:space="preserve">RESULT: ~45% portfolio ROI improvement confirmed within 12 months. $1Bn EBITDA transformation made </w:t>
            </w:r>
            <w:proofErr w:type="gramStart"/>
            <w:r>
              <w:rPr>
                <w:color w:val="333333"/>
                <w:sz w:val="21"/>
                <w:szCs w:val="21"/>
              </w:rPr>
              <w:t>investment-visible</w:t>
            </w:r>
            <w:proofErr w:type="gramEnd"/>
            <w:r>
              <w:rPr>
                <w:color w:val="333333"/>
                <w:sz w:val="21"/>
                <w:szCs w:val="21"/>
              </w:rPr>
              <w:t>. Executive relationship with the PMO function changed permanently.</w:t>
            </w:r>
          </w:p>
        </w:tc>
      </w:tr>
    </w:tbl>
    <w:p w14:paraId="6A8AEAD8" w14:textId="77777777" w:rsidR="00C05CFF" w:rsidRDefault="00C05CFF">
      <w:pPr>
        <w:spacing w:before="200"/>
      </w:pPr>
    </w:p>
    <w:p w14:paraId="6E60531B" w14:textId="77777777" w:rsidR="00C05CFF" w:rsidRDefault="00000000">
      <w:pPr>
        <w:spacing w:after="80"/>
      </w:pPr>
      <w:r>
        <w:rPr>
          <w:rFonts w:ascii="Arial" w:eastAsia="Arial" w:hAnsi="Arial" w:cs="Arial"/>
          <w:b/>
          <w:bCs/>
          <w:color w:val="0D6E6E"/>
          <w:spacing w:val="40"/>
          <w:sz w:val="20"/>
          <w:szCs w:val="20"/>
        </w:rPr>
        <w:t>YOUR ENTRY — Complete one form per PMO outcome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6840"/>
      </w:tblGrid>
      <w:tr w:rsidR="00C05CFF" w14:paraId="2B6A91CA" w14:textId="77777777">
        <w:tc>
          <w:tcPr>
            <w:tcW w:w="9360" w:type="dxa"/>
            <w:gridSpan w:val="2"/>
            <w:tcBorders>
              <w:top w:val="single" w:sz="8" w:space="0" w:color="1B3A6B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612F92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40"/>
                <w:sz w:val="20"/>
                <w:szCs w:val="20"/>
              </w:rPr>
              <w:t>ENTRY DETAILS</w:t>
            </w:r>
          </w:p>
        </w:tc>
      </w:tr>
      <w:tr w:rsidR="00C05CFF" w14:paraId="40E89F76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267AA22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Entry Reference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DF6A19C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EVL-001</w:t>
            </w:r>
          </w:p>
          <w:p w14:paraId="09A2AD8D" w14:textId="77777777" w:rsidR="00C05CFF" w:rsidRDefault="00C05CFF">
            <w:pPr>
              <w:spacing w:before="60" w:line="280" w:lineRule="auto"/>
            </w:pPr>
          </w:p>
        </w:tc>
      </w:tr>
      <w:tr w:rsidR="00C05CFF" w14:paraId="28AD4ABA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73A5646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Organisation / Sector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0C7E31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Government · Energy · Utilities · Private Enterprise</w:t>
            </w:r>
          </w:p>
          <w:p w14:paraId="7E51F191" w14:textId="77777777" w:rsidR="00C05CFF" w:rsidRDefault="00C05CFF">
            <w:pPr>
              <w:spacing w:before="60" w:line="280" w:lineRule="auto"/>
            </w:pPr>
          </w:p>
        </w:tc>
      </w:tr>
      <w:tr w:rsidR="00C05CFF" w14:paraId="1183CC9E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B188F93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Engagement Period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48B141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January 2025 – March 2025</w:t>
            </w:r>
          </w:p>
          <w:p w14:paraId="37C4BC97" w14:textId="77777777" w:rsidR="00C05CFF" w:rsidRDefault="00C05CFF">
            <w:pPr>
              <w:spacing w:before="60" w:line="280" w:lineRule="auto"/>
            </w:pPr>
          </w:p>
        </w:tc>
      </w:tr>
      <w:tr w:rsidR="00C05CFF" w14:paraId="5CBD9A2B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84D821F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PMO-MVM™ Dimension(s)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085A5FF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Strategic Alignment · Delivery Confidence · Portfolio Visibility · Stakeholder Trust · Execution Velocity</w:t>
            </w:r>
          </w:p>
          <w:p w14:paraId="423DED18" w14:textId="77777777" w:rsidR="00C05CFF" w:rsidRDefault="00C05CFF">
            <w:pPr>
              <w:spacing w:before="60" w:line="280" w:lineRule="auto"/>
            </w:pPr>
          </w:p>
        </w:tc>
      </w:tr>
      <w:tr w:rsidR="00C05CFF" w14:paraId="481DD466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0D04566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Permission Status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1035BD6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Full use (</w:t>
            </w:r>
            <w:proofErr w:type="gramStart"/>
            <w:r>
              <w:rPr>
                <w:i/>
                <w:iCs/>
                <w:color w:val="AAAAAA"/>
                <w:sz w:val="20"/>
                <w:szCs w:val="20"/>
              </w:rPr>
              <w:t>named) ·</w:t>
            </w:r>
            <w:proofErr w:type="gramEnd"/>
            <w:r>
              <w:rPr>
                <w:i/>
                <w:iCs/>
                <w:color w:val="AAAAAA"/>
                <w:sz w:val="20"/>
                <w:szCs w:val="20"/>
              </w:rPr>
              <w:t xml:space="preserve"> Anonymised only · Internal reference only · Pending</w:t>
            </w:r>
          </w:p>
          <w:p w14:paraId="78E6C4EE" w14:textId="77777777" w:rsidR="00C05CFF" w:rsidRDefault="00C05CFF">
            <w:pPr>
              <w:spacing w:before="60" w:line="280" w:lineRule="auto"/>
            </w:pPr>
          </w:p>
        </w:tc>
      </w:tr>
    </w:tbl>
    <w:p w14:paraId="3B6A2EB0" w14:textId="77777777" w:rsidR="00C05CFF" w:rsidRDefault="00C05CF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6840"/>
      </w:tblGrid>
      <w:tr w:rsidR="00C05CFF" w14:paraId="0F627B3D" w14:textId="77777777">
        <w:tc>
          <w:tcPr>
            <w:tcW w:w="9360" w:type="dxa"/>
            <w:gridSpan w:val="2"/>
            <w:tcBorders>
              <w:top w:val="single" w:sz="8" w:space="0" w:color="B050EE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C0392B"/>
            <w:tcMar>
              <w:top w:w="100" w:type="dxa"/>
              <w:left w:w="160" w:type="dxa"/>
              <w:bottom w:w="60" w:type="dxa"/>
              <w:right w:w="160" w:type="dxa"/>
            </w:tcMar>
          </w:tcPr>
          <w:p w14:paraId="738DE369" w14:textId="77777777" w:rsidR="00C05CFF" w:rsidRDefault="00000000">
            <w:pPr>
              <w:spacing w:after="20"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40"/>
                <w:sz w:val="20"/>
                <w:szCs w:val="20"/>
              </w:rPr>
              <w:t>S  —  SITUATION</w:t>
            </w:r>
          </w:p>
          <w:p w14:paraId="255A2C4E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FFCCCC"/>
                <w:sz w:val="19"/>
                <w:szCs w:val="19"/>
              </w:rPr>
              <w:t>What was happening before the PMO intervened? Be specific. Use numbers where available.</w:t>
            </w:r>
          </w:p>
        </w:tc>
      </w:tr>
      <w:tr w:rsidR="00C05CFF" w14:paraId="4B5F1066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01E90E7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The business problem (in executive language)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FA9BB2B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 xml:space="preserve">e.g. Strategy execution </w:t>
            </w:r>
            <w:proofErr w:type="gramStart"/>
            <w:r>
              <w:rPr>
                <w:i/>
                <w:iCs/>
                <w:color w:val="AAAAAA"/>
                <w:sz w:val="20"/>
                <w:szCs w:val="20"/>
              </w:rPr>
              <w:t>failing — 40</w:t>
            </w:r>
            <w:proofErr w:type="gramEnd"/>
            <w:r>
              <w:rPr>
                <w:i/>
                <w:iCs/>
                <w:color w:val="AAAAAA"/>
                <w:sz w:val="20"/>
                <w:szCs w:val="20"/>
              </w:rPr>
              <w:t>% of strategic initiatives had no defined benefit owner or tracking method.</w:t>
            </w:r>
          </w:p>
          <w:p w14:paraId="6D7E44DF" w14:textId="77777777" w:rsidR="00C05CFF" w:rsidRDefault="00C05CFF">
            <w:pPr>
              <w:spacing w:before="80" w:line="280" w:lineRule="auto"/>
            </w:pPr>
          </w:p>
          <w:p w14:paraId="20252091" w14:textId="77777777" w:rsidR="00C05CFF" w:rsidRDefault="00C05CFF">
            <w:pPr>
              <w:spacing w:before="80" w:line="280" w:lineRule="auto"/>
            </w:pPr>
          </w:p>
        </w:tc>
      </w:tr>
      <w:tr w:rsidR="00C05CFF" w14:paraId="74444A1E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904FBF6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The PMO’s perceived role at the time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F42DD36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Reporting layer only. No mandate to challenge delivery data or resolve commercial disputes.</w:t>
            </w:r>
          </w:p>
          <w:p w14:paraId="732D6071" w14:textId="77777777" w:rsidR="00C05CFF" w:rsidRDefault="00C05CFF">
            <w:pPr>
              <w:spacing w:before="80" w:line="280" w:lineRule="auto"/>
            </w:pPr>
          </w:p>
          <w:p w14:paraId="2ED9CAC2" w14:textId="77777777" w:rsidR="00C05CFF" w:rsidRDefault="00C05CFF">
            <w:pPr>
              <w:spacing w:before="80" w:line="280" w:lineRule="auto"/>
            </w:pPr>
          </w:p>
        </w:tc>
      </w:tr>
      <w:tr w:rsidR="00C05CFF" w14:paraId="14AD3967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ADC5256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Where value was leaking (be specific)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714FADBE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Vendor shortfalls absorbed at delivery level. Milestone disputes blocking AED 3M in invoices. No portfolio-to-strategy linkage.</w:t>
            </w:r>
          </w:p>
          <w:p w14:paraId="18C93FA5" w14:textId="77777777" w:rsidR="00C05CFF" w:rsidRDefault="00C05CFF">
            <w:pPr>
              <w:spacing w:before="80" w:line="280" w:lineRule="auto"/>
            </w:pPr>
          </w:p>
          <w:p w14:paraId="7B9B6CE3" w14:textId="77777777" w:rsidR="00C05CFF" w:rsidRDefault="00C05CFF">
            <w:pPr>
              <w:spacing w:before="80" w:line="280" w:lineRule="auto"/>
            </w:pPr>
          </w:p>
        </w:tc>
      </w:tr>
      <w:tr w:rsidR="00C05CFF" w14:paraId="2D51ECEB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47FDE7D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Baseline metric (Before)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87327B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 xml:space="preserve">e.g. SPI = 0.76 · Decision lag = 14 </w:t>
            </w:r>
            <w:proofErr w:type="gramStart"/>
            <w:r>
              <w:rPr>
                <w:i/>
                <w:iCs/>
                <w:color w:val="AAAAAA"/>
                <w:sz w:val="20"/>
                <w:szCs w:val="20"/>
              </w:rPr>
              <w:t>days · 0</w:t>
            </w:r>
            <w:proofErr w:type="gramEnd"/>
            <w:r>
              <w:rPr>
                <w:i/>
                <w:iCs/>
                <w:color w:val="AAAAAA"/>
                <w:sz w:val="20"/>
                <w:szCs w:val="20"/>
              </w:rPr>
              <w:t>% projects with benefit tracking</w:t>
            </w:r>
          </w:p>
          <w:p w14:paraId="05A8870F" w14:textId="77777777" w:rsidR="00C05CFF" w:rsidRDefault="00C05CFF">
            <w:pPr>
              <w:spacing w:before="60" w:line="280" w:lineRule="auto"/>
            </w:pPr>
          </w:p>
        </w:tc>
      </w:tr>
    </w:tbl>
    <w:p w14:paraId="3AFABC21" w14:textId="77777777" w:rsidR="00C05CFF" w:rsidRDefault="00C05CF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6840"/>
      </w:tblGrid>
      <w:tr w:rsidR="00C05CFF" w14:paraId="28EFFF6D" w14:textId="77777777">
        <w:tc>
          <w:tcPr>
            <w:tcW w:w="9360" w:type="dxa"/>
            <w:gridSpan w:val="2"/>
            <w:tcBorders>
              <w:top w:val="single" w:sz="8" w:space="0" w:color="0D6E6E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0D6E6E"/>
            <w:tcMar>
              <w:top w:w="100" w:type="dxa"/>
              <w:left w:w="160" w:type="dxa"/>
              <w:bottom w:w="60" w:type="dxa"/>
              <w:right w:w="160" w:type="dxa"/>
            </w:tcMar>
          </w:tcPr>
          <w:p w14:paraId="400FFFC7" w14:textId="77777777" w:rsidR="00C05CFF" w:rsidRDefault="00000000">
            <w:pPr>
              <w:spacing w:after="20"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40"/>
                <w:sz w:val="20"/>
                <w:szCs w:val="20"/>
              </w:rPr>
              <w:t>I  —  INTERVENTION</w:t>
            </w:r>
          </w:p>
          <w:p w14:paraId="40D43B34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CCEEEE"/>
                <w:sz w:val="19"/>
                <w:szCs w:val="19"/>
              </w:rPr>
              <w:t>What did the PMO design, build, introduce, or change? This is your evidence of action.</w:t>
            </w:r>
          </w:p>
        </w:tc>
      </w:tr>
      <w:tr w:rsidR="00C05CFF" w14:paraId="51F4B97B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A26C1A8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What was designed or built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BE00154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Integrated reporting framework connecting all 17 digital initiatives to a single portfolio view aligned to corporate BSC.</w:t>
            </w:r>
          </w:p>
          <w:p w14:paraId="3B9FCF4E" w14:textId="77777777" w:rsidR="00C05CFF" w:rsidRDefault="00C05CFF">
            <w:pPr>
              <w:spacing w:before="80" w:line="280" w:lineRule="auto"/>
            </w:pPr>
          </w:p>
          <w:p w14:paraId="7CE0AA5D" w14:textId="77777777" w:rsidR="00C05CFF" w:rsidRDefault="00C05CFF">
            <w:pPr>
              <w:spacing w:before="80" w:line="280" w:lineRule="auto"/>
            </w:pPr>
          </w:p>
        </w:tc>
      </w:tr>
      <w:tr w:rsidR="00C05CFF" w14:paraId="7523823D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47C7BBA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What was changed or introduced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26A35275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PMO Mandate Charter established. Vendor Performance Framework co-owned with Commercial Director.</w:t>
            </w:r>
          </w:p>
          <w:p w14:paraId="629F1BB5" w14:textId="77777777" w:rsidR="00C05CFF" w:rsidRDefault="00C05CFF">
            <w:pPr>
              <w:spacing w:before="80" w:line="280" w:lineRule="auto"/>
            </w:pPr>
          </w:p>
          <w:p w14:paraId="0CF6DA5B" w14:textId="77777777" w:rsidR="00C05CFF" w:rsidRDefault="00C05CFF">
            <w:pPr>
              <w:spacing w:before="80" w:line="280" w:lineRule="auto"/>
            </w:pPr>
          </w:p>
        </w:tc>
      </w:tr>
      <w:tr w:rsidR="00C05CFF" w14:paraId="30F50DFE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E484C4D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What was stopped or resolved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66A426C6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Delivery–Commercial dispute cycle eliminated. Ad hoc executive update requests reduced to zero.</w:t>
            </w:r>
          </w:p>
          <w:p w14:paraId="42705D0F" w14:textId="77777777" w:rsidR="00C05CFF" w:rsidRDefault="00C05CFF">
            <w:pPr>
              <w:spacing w:before="80" w:line="280" w:lineRule="auto"/>
            </w:pPr>
          </w:p>
          <w:p w14:paraId="6BAEEE33" w14:textId="77777777" w:rsidR="00C05CFF" w:rsidRDefault="00C05CFF">
            <w:pPr>
              <w:spacing w:before="80" w:line="280" w:lineRule="auto"/>
            </w:pPr>
          </w:p>
        </w:tc>
      </w:tr>
      <w:tr w:rsidR="00C05CFF" w14:paraId="0F8DA9D8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269FAA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PMO-MVM™ Step applied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8C82729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Step 1 (Build) · Step 2 (Scan) · Step 3 (Design) · Step 4 (Plan) · Step 5 (Launch &amp; Scale)</w:t>
            </w:r>
          </w:p>
          <w:p w14:paraId="519300AC" w14:textId="77777777" w:rsidR="00C05CFF" w:rsidRDefault="00C05CFF">
            <w:pPr>
              <w:spacing w:before="60" w:line="280" w:lineRule="auto"/>
            </w:pPr>
          </w:p>
        </w:tc>
      </w:tr>
      <w:tr w:rsidR="00C05CFF" w14:paraId="14206F53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8B97166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Timeframe of intervention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D403D29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Weeks 1–6 of a 12-month engagement</w:t>
            </w:r>
          </w:p>
          <w:p w14:paraId="7476FEF8" w14:textId="77777777" w:rsidR="00C05CFF" w:rsidRDefault="00C05CFF">
            <w:pPr>
              <w:spacing w:before="60" w:line="280" w:lineRule="auto"/>
            </w:pPr>
          </w:p>
        </w:tc>
      </w:tr>
    </w:tbl>
    <w:p w14:paraId="3B5B871D" w14:textId="77777777" w:rsidR="00C05CFF" w:rsidRDefault="00C05CF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6840"/>
      </w:tblGrid>
      <w:tr w:rsidR="00C05CFF" w14:paraId="1BEC415B" w14:textId="77777777">
        <w:tc>
          <w:tcPr>
            <w:tcW w:w="9360" w:type="dxa"/>
            <w:gridSpan w:val="2"/>
            <w:tcBorders>
              <w:top w:val="single" w:sz="8" w:space="0" w:color="0D6E4E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0D6E4E"/>
            <w:tcMar>
              <w:top w:w="100" w:type="dxa"/>
              <w:left w:w="160" w:type="dxa"/>
              <w:bottom w:w="60" w:type="dxa"/>
              <w:right w:w="160" w:type="dxa"/>
            </w:tcMar>
          </w:tcPr>
          <w:p w14:paraId="415B33B5" w14:textId="77777777" w:rsidR="00C05CFF" w:rsidRDefault="00000000">
            <w:pPr>
              <w:spacing w:after="20" w:line="26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pacing w:val="40"/>
                <w:sz w:val="20"/>
                <w:szCs w:val="20"/>
              </w:rPr>
              <w:t>R  —  RESULT</w:t>
            </w:r>
          </w:p>
          <w:p w14:paraId="62DB8E3A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CCEECC"/>
                <w:sz w:val="19"/>
                <w:szCs w:val="19"/>
              </w:rPr>
              <w:t xml:space="preserve">What measurably changed? Confirmed metrics first. Directional </w:t>
            </w:r>
            <w:proofErr w:type="gramStart"/>
            <w:r>
              <w:rPr>
                <w:i/>
                <w:iCs/>
                <w:color w:val="CCEECC"/>
                <w:sz w:val="19"/>
                <w:szCs w:val="19"/>
              </w:rPr>
              <w:t>change</w:t>
            </w:r>
            <w:proofErr w:type="gramEnd"/>
            <w:r>
              <w:rPr>
                <w:i/>
                <w:iCs/>
                <w:color w:val="CCEECC"/>
                <w:sz w:val="19"/>
                <w:szCs w:val="19"/>
              </w:rPr>
              <w:t xml:space="preserve"> </w:t>
            </w:r>
            <w:proofErr w:type="gramStart"/>
            <w:r>
              <w:rPr>
                <w:i/>
                <w:iCs/>
                <w:color w:val="CCEECC"/>
                <w:sz w:val="19"/>
                <w:szCs w:val="19"/>
              </w:rPr>
              <w:t>where</w:t>
            </w:r>
            <w:proofErr w:type="gramEnd"/>
            <w:r>
              <w:rPr>
                <w:i/>
                <w:iCs/>
                <w:color w:val="CCEECC"/>
                <w:sz w:val="19"/>
                <w:szCs w:val="19"/>
              </w:rPr>
              <w:t xml:space="preserve"> not yet quantified.</w:t>
            </w:r>
          </w:p>
        </w:tc>
      </w:tr>
      <w:tr w:rsidR="00C05CFF" w14:paraId="0D0532B3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1940451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Primary confirmed metric (After)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6768379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SPI improved to 0.96 · Decision lag reduced to 3 days · 100% projects with benefit tracking</w:t>
            </w:r>
          </w:p>
          <w:p w14:paraId="7B9E8FF2" w14:textId="77777777" w:rsidR="00C05CFF" w:rsidRDefault="00C05CFF">
            <w:pPr>
              <w:spacing w:before="60" w:line="280" w:lineRule="auto"/>
            </w:pPr>
          </w:p>
        </w:tc>
      </w:tr>
      <w:tr w:rsidR="00C05CFF" w14:paraId="247C984D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B76B334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What changed for the executive sponsor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33C591E1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No longer waiting for data. PMO cited as source of investment intelligence in board papers for first time.</w:t>
            </w:r>
          </w:p>
          <w:p w14:paraId="3D7A4339" w14:textId="77777777" w:rsidR="00C05CFF" w:rsidRDefault="00C05CFF">
            <w:pPr>
              <w:spacing w:before="80" w:line="280" w:lineRule="auto"/>
            </w:pPr>
          </w:p>
          <w:p w14:paraId="1671BD6C" w14:textId="77777777" w:rsidR="00C05CFF" w:rsidRDefault="00C05CFF">
            <w:pPr>
              <w:spacing w:before="80" w:line="280" w:lineRule="auto"/>
            </w:pPr>
          </w:p>
        </w:tc>
      </w:tr>
      <w:tr w:rsidR="00C05CFF" w14:paraId="4A12DCC7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AEB8110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What changed for the organisation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17C31A68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Portfolio ROI improvement confirmed. EPMO governance live across all entities. Strategy mapped to delivery.</w:t>
            </w:r>
          </w:p>
          <w:p w14:paraId="32D8C839" w14:textId="77777777" w:rsidR="00C05CFF" w:rsidRDefault="00C05CFF">
            <w:pPr>
              <w:spacing w:before="80" w:line="280" w:lineRule="auto"/>
            </w:pPr>
          </w:p>
          <w:p w14:paraId="4185EE46" w14:textId="77777777" w:rsidR="00C05CFF" w:rsidRDefault="00C05CFF">
            <w:pPr>
              <w:spacing w:before="80" w:line="280" w:lineRule="auto"/>
            </w:pPr>
          </w:p>
        </w:tc>
      </w:tr>
      <w:tr w:rsidR="00C05CFF" w14:paraId="4972CC69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ACA6F8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Source / Evidence reference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A8E486C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Governance board minutes, April 2025 · Executive dashboard export · Sponsor sign-off document</w:t>
            </w:r>
          </w:p>
          <w:p w14:paraId="0F7CFFEC" w14:textId="77777777" w:rsidR="00C05CFF" w:rsidRDefault="00C05CFF">
            <w:pPr>
              <w:spacing w:before="60" w:line="280" w:lineRule="auto"/>
            </w:pPr>
          </w:p>
        </w:tc>
      </w:tr>
      <w:tr w:rsidR="00C05CFF" w14:paraId="249EDDC7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418C384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Quote from executive sponsor (if obtained)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20" w:type="dxa"/>
              <w:left w:w="140" w:type="dxa"/>
              <w:bottom w:w="120" w:type="dxa"/>
              <w:right w:w="140" w:type="dxa"/>
            </w:tcMar>
          </w:tcPr>
          <w:p w14:paraId="551183F5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“For the first time, I can see what the portfolio is returning — not just what it is doing.” — [Title, Organisation]</w:t>
            </w:r>
          </w:p>
          <w:p w14:paraId="1C002227" w14:textId="77777777" w:rsidR="00C05CFF" w:rsidRDefault="00C05CFF">
            <w:pPr>
              <w:spacing w:before="80" w:line="280" w:lineRule="auto"/>
            </w:pPr>
          </w:p>
          <w:p w14:paraId="4C2AE4F8" w14:textId="77777777" w:rsidR="00C05CFF" w:rsidRDefault="00C05CFF">
            <w:pPr>
              <w:spacing w:before="80" w:line="280" w:lineRule="auto"/>
            </w:pPr>
          </w:p>
        </w:tc>
      </w:tr>
    </w:tbl>
    <w:p w14:paraId="7DAEF368" w14:textId="77777777" w:rsidR="00C05CFF" w:rsidRDefault="00C05CFF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51484078" w14:textId="77777777">
        <w:tc>
          <w:tcPr>
            <w:tcW w:w="9360" w:type="dxa"/>
            <w:tcBorders>
              <w:top w:val="single" w:sz="8" w:space="0" w:color="0D6E6E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3BBCCE00" w14:textId="77777777" w:rsidR="00C05CF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D6E6E"/>
                <w:spacing w:val="40"/>
                <w:sz w:val="19"/>
                <w:szCs w:val="19"/>
              </w:rPr>
              <w:t>QUALITY CHECK</w:t>
            </w:r>
          </w:p>
          <w:p w14:paraId="55379B28" w14:textId="77777777" w:rsidR="00C05CFF" w:rsidRDefault="00000000">
            <w:pPr>
              <w:spacing w:line="300" w:lineRule="auto"/>
              <w:jc w:val="both"/>
            </w:pPr>
            <w:r>
              <w:rPr>
                <w:color w:val="333333"/>
                <w:sz w:val="21"/>
                <w:szCs w:val="21"/>
              </w:rPr>
              <w:t>Before moving to Section 2, ask: Can I defend every number in the Result field to a sceptical CFO? If not — return to the Source field and confirm your evidence. A directional result with a confirmed source is more credible than a precise number with no attribution.</w:t>
            </w:r>
          </w:p>
        </w:tc>
      </w:tr>
    </w:tbl>
    <w:p w14:paraId="5BDE2DDC" w14:textId="77777777" w:rsidR="00C05CFF" w:rsidRDefault="00C05CFF">
      <w:pPr>
        <w:pageBreakBefore/>
      </w:pPr>
    </w:p>
    <w:p w14:paraId="75922AD5" w14:textId="77777777" w:rsidR="00C05CFF" w:rsidRDefault="00000000">
      <w:pPr>
        <w:spacing w:after="60"/>
      </w:pPr>
      <w:r>
        <w:rPr>
          <w:rFonts w:ascii="Arial" w:eastAsia="Arial" w:hAnsi="Arial" w:cs="Arial"/>
          <w:b/>
          <w:bCs/>
          <w:color w:val="C9A84C"/>
          <w:spacing w:val="80"/>
          <w:sz w:val="19"/>
          <w:szCs w:val="19"/>
        </w:rPr>
        <w:t>SECTION 2</w:t>
      </w:r>
    </w:p>
    <w:p w14:paraId="03822C63" w14:textId="77777777" w:rsidR="00C05CFF" w:rsidRDefault="00000000">
      <w:pPr>
        <w:spacing w:before="60" w:after="80" w:line="300" w:lineRule="auto"/>
      </w:pPr>
      <w:r>
        <w:rPr>
          <w:rFonts w:ascii="Arial" w:eastAsia="Arial" w:hAnsi="Arial" w:cs="Arial"/>
          <w:b/>
          <w:bCs/>
          <w:color w:val="1B3A6B"/>
          <w:sz w:val="36"/>
          <w:szCs w:val="36"/>
        </w:rPr>
        <w:t>Business Outcome Statement Formula™</w:t>
      </w:r>
    </w:p>
    <w:p w14:paraId="33ED80F2" w14:textId="77777777" w:rsidR="00C05CFF" w:rsidRDefault="00000000">
      <w:pPr>
        <w:spacing w:after="240" w:line="300" w:lineRule="auto"/>
      </w:pPr>
      <w:r>
        <w:rPr>
          <w:i/>
          <w:iCs/>
          <w:color w:val="0D6E6E"/>
        </w:rPr>
        <w:t>Turn your SIR evidence into a single sentence that earns executive attention</w:t>
      </w:r>
    </w:p>
    <w:p w14:paraId="3978997C" w14:textId="77777777" w:rsidR="00C05CFF" w:rsidRDefault="00C05CFF">
      <w:pPr>
        <w:pBdr>
          <w:bottom w:val="single" w:sz="6" w:space="1" w:color="C9A84C"/>
        </w:pBdr>
        <w:spacing w:before="100" w:after="100"/>
      </w:pPr>
    </w:p>
    <w:p w14:paraId="62A4EE28" w14:textId="77777777" w:rsidR="00C05CFF" w:rsidRDefault="00C05CFF">
      <w:pPr>
        <w:spacing w:before="160"/>
      </w:pPr>
    </w:p>
    <w:p w14:paraId="6C5152A4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>An executive does not read a case study. An executive reads a headline. The Business Outcome Statement Formula™ converts your three-field SIR evidence into a single sentence — structured, specific, and built to communicate value in the language of investment return rather than PMO activity.</w:t>
      </w:r>
    </w:p>
    <w:p w14:paraId="06DC3CD1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>Every confirmed case study in Chapter 9 can be reduced to one sentence. The formula that produced those sentences is below.</w:t>
      </w:r>
    </w:p>
    <w:p w14:paraId="4A15CC4E" w14:textId="77777777" w:rsidR="00C05CFF" w:rsidRDefault="00C05CF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33F444D0" w14:textId="77777777">
        <w:tc>
          <w:tcPr>
            <w:tcW w:w="9360" w:type="dxa"/>
            <w:tcBorders>
              <w:top w:val="single" w:sz="8" w:space="0" w:color="C9A84C"/>
              <w:left w:val="single" w:sz="1" w:space="0" w:color="C5D2E0"/>
              <w:bottom w:val="single" w:sz="8" w:space="0" w:color="C9A84C"/>
              <w:right w:val="single" w:sz="1" w:space="0" w:color="C5D2E0"/>
            </w:tcBorders>
            <w:shd w:val="clear" w:color="auto" w:fill="FDF8EC"/>
            <w:tcMar>
              <w:top w:w="200" w:type="dxa"/>
              <w:left w:w="240" w:type="dxa"/>
              <w:bottom w:w="200" w:type="dxa"/>
              <w:right w:w="240" w:type="dxa"/>
            </w:tcMar>
          </w:tcPr>
          <w:p w14:paraId="414BB6E2" w14:textId="77777777" w:rsidR="00C05CFF" w:rsidRDefault="00000000">
            <w:pPr>
              <w:spacing w:after="80" w:line="26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C9A84C"/>
                <w:spacing w:val="60"/>
                <w:sz w:val="19"/>
                <w:szCs w:val="19"/>
              </w:rPr>
              <w:t>THE FORMULA</w:t>
            </w:r>
          </w:p>
          <w:p w14:paraId="10B3E12F" w14:textId="77777777" w:rsidR="00C05CFF" w:rsidRDefault="00000000">
            <w:pPr>
              <w:spacing w:before="80" w:after="80" w:line="30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1B3A6B"/>
              </w:rPr>
              <w:t>[PMO action verb]  +  [what was built or changed]  +  [for / across]  +  [organisation context]  +  [result metric]  +  [timeframe]</w:t>
            </w:r>
          </w:p>
          <w:p w14:paraId="5FD27CD2" w14:textId="77777777" w:rsidR="00C05CFF" w:rsidRDefault="00C05CFF">
            <w:pPr>
              <w:spacing w:before="80"/>
            </w:pPr>
          </w:p>
          <w:p w14:paraId="290B7FB3" w14:textId="77777777" w:rsidR="00C05CFF" w:rsidRDefault="00000000">
            <w:pPr>
              <w:spacing w:after="40" w:line="30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20"/>
                <w:szCs w:val="20"/>
              </w:rPr>
              <w:t>Applied to TAQA:</w:t>
            </w:r>
          </w:p>
          <w:p w14:paraId="392EAFB9" w14:textId="77777777" w:rsidR="00C05CFF" w:rsidRDefault="00000000">
            <w:pPr>
              <w:spacing w:after="80" w:line="320" w:lineRule="auto"/>
              <w:jc w:val="center"/>
            </w:pPr>
            <w:r>
              <w:rPr>
                <w:i/>
                <w:iCs/>
                <w:color w:val="1B3A6B"/>
              </w:rPr>
              <w:t>“Designed and implemented an integrated reporting framework across a multi-billion-dollar digital transformation portfolio, restoring 100% portfolio visibility and accelerating executive decision cycles by 20–30% within 6 months.”</w:t>
            </w:r>
          </w:p>
          <w:p w14:paraId="4F1820CD" w14:textId="77777777" w:rsidR="00C05CFF" w:rsidRDefault="00C05CFF">
            <w:pPr>
              <w:spacing w:before="80"/>
            </w:pPr>
          </w:p>
          <w:p w14:paraId="6BAF3515" w14:textId="77777777" w:rsidR="00C05CFF" w:rsidRDefault="00000000">
            <w:pPr>
              <w:spacing w:after="40" w:line="30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20"/>
                <w:szCs w:val="20"/>
              </w:rPr>
              <w:t>Applied to EY MENA:</w:t>
            </w:r>
          </w:p>
          <w:p w14:paraId="3B9453F3" w14:textId="77777777" w:rsidR="00C05CFF" w:rsidRDefault="00000000">
            <w:pPr>
              <w:spacing w:after="80" w:line="320" w:lineRule="auto"/>
              <w:jc w:val="center"/>
            </w:pPr>
            <w:r>
              <w:rPr>
                <w:i/>
                <w:iCs/>
                <w:color w:val="1B3A6B"/>
              </w:rPr>
              <w:t>“Designed and deployed a full EPMO governance structure across 15 KSA public sector units, mapping 100% of national transformation objectives to active delivery programmes within 3 months.”</w:t>
            </w:r>
          </w:p>
          <w:p w14:paraId="44656BB7" w14:textId="77777777" w:rsidR="00C05CFF" w:rsidRDefault="00C05CFF">
            <w:pPr>
              <w:spacing w:before="80"/>
            </w:pPr>
          </w:p>
          <w:p w14:paraId="01E22E8A" w14:textId="77777777" w:rsidR="00C05CFF" w:rsidRDefault="00000000">
            <w:pPr>
              <w:spacing w:after="40" w:line="30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20"/>
                <w:szCs w:val="20"/>
              </w:rPr>
              <w:t>Applied to ADNOC:</w:t>
            </w:r>
          </w:p>
          <w:p w14:paraId="5D201C8D" w14:textId="77777777" w:rsidR="00C05CFF" w:rsidRDefault="00000000">
            <w:pPr>
              <w:spacing w:line="320" w:lineRule="auto"/>
              <w:jc w:val="center"/>
            </w:pPr>
            <w:r>
              <w:rPr>
                <w:i/>
                <w:iCs/>
                <w:color w:val="1B3A6B"/>
              </w:rPr>
              <w:t>“Repositioned the PMO from reporting layer to investment governance engine for a $1Bn+ transformation portfolio, delivering a ~45% portfolio ROI improvement within 12 months.”</w:t>
            </w:r>
          </w:p>
        </w:tc>
      </w:tr>
    </w:tbl>
    <w:p w14:paraId="3D00A625" w14:textId="77777777" w:rsidR="00C05CFF" w:rsidRDefault="00C05CFF">
      <w:pPr>
        <w:spacing w:before="200"/>
      </w:pPr>
    </w:p>
    <w:p w14:paraId="5CF2B753" w14:textId="77777777" w:rsidR="00C05CFF" w:rsidRDefault="00000000">
      <w:pPr>
        <w:spacing w:before="200" w:after="80" w:line="280" w:lineRule="auto"/>
      </w:pPr>
      <w:r>
        <w:rPr>
          <w:rFonts w:ascii="Arial" w:eastAsia="Arial" w:hAnsi="Arial" w:cs="Arial"/>
          <w:b/>
          <w:bCs/>
          <w:color w:val="1B3A6B"/>
        </w:rPr>
        <w:t>Formula Component Guide</w:t>
      </w:r>
    </w:p>
    <w:p w14:paraId="666FDBD8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>Use this guide when you are unsure which words to choose for each component.</w:t>
      </w:r>
    </w:p>
    <w:p w14:paraId="6C51CE80" w14:textId="77777777" w:rsidR="00C05CFF" w:rsidRDefault="00C05CFF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0"/>
        <w:gridCol w:w="3600"/>
        <w:gridCol w:w="3600"/>
      </w:tblGrid>
      <w:tr w:rsidR="00C05CFF" w14:paraId="48866666" w14:textId="77777777"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6BE6F5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Component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B88128E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Strong Options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E3CAB5A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FFFFFF"/>
                <w:sz w:val="20"/>
                <w:szCs w:val="20"/>
              </w:rPr>
              <w:t>Avoid</w:t>
            </w:r>
          </w:p>
        </w:tc>
      </w:tr>
      <w:tr w:rsidR="00C05CFF" w14:paraId="021A7203" w14:textId="77777777"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133490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PMO action verb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7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D46C86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20"/>
                <w:szCs w:val="20"/>
              </w:rPr>
              <w:t>Designed · Built · Implemented · Established · Deployed · Restructured · Introduced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544650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AA3333"/>
                <w:sz w:val="20"/>
                <w:szCs w:val="20"/>
              </w:rPr>
              <w:t>"Helped" · "Supported" · "Assisted" · "Worked on"</w:t>
            </w:r>
          </w:p>
        </w:tc>
      </w:tr>
      <w:tr w:rsidR="00C05CFF" w14:paraId="3ED8BCEC" w14:textId="77777777"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B9495CF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What was built or changed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44134D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20"/>
                <w:szCs w:val="20"/>
              </w:rPr>
              <w:t>Governance framework · Reporting system · Dashboard · Mandate charter · Accountability structure · Sprint cadence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A52712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AA3333"/>
                <w:sz w:val="20"/>
                <w:szCs w:val="20"/>
              </w:rPr>
              <w:t>Vague nouns: "process", "methodology", "approach"</w:t>
            </w:r>
          </w:p>
        </w:tc>
      </w:tr>
      <w:tr w:rsidR="00C05CFF" w14:paraId="40284D32" w14:textId="77777777"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D48C58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Organisation context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7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18C0F1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20"/>
                <w:szCs w:val="20"/>
              </w:rPr>
              <w:t>A specific sector, entity type, and scale. e.g. “a multi-billion-dollar digital portfolio” or “15 KSA government units”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4AEC781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AA3333"/>
                <w:sz w:val="20"/>
                <w:szCs w:val="20"/>
              </w:rPr>
              <w:t>"A client" · "an organisation" (too vague to earn credibility)</w:t>
            </w:r>
          </w:p>
        </w:tc>
      </w:tr>
      <w:tr w:rsidR="00C05CFF" w14:paraId="59A35D77" w14:textId="77777777"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5264CE1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Result metric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604C27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20"/>
                <w:szCs w:val="20"/>
              </w:rPr>
              <w:t>%, AED/USD value, time saved, decisions enabled, coverage achieved. Use ~, est., or approx. if confirmed but estimated.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5623AC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AA3333"/>
                <w:sz w:val="20"/>
                <w:szCs w:val="20"/>
              </w:rPr>
              <w:t>"Significant improvement" · "Better outcomes" (not quantified)</w:t>
            </w:r>
          </w:p>
        </w:tc>
      </w:tr>
      <w:tr w:rsidR="00C05CFF" w14:paraId="0238DA98" w14:textId="77777777"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459238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Timeframe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7F2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074F13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20"/>
                <w:szCs w:val="20"/>
              </w:rPr>
              <w:t>Within 90 days · Across a 6-month engagement · Within the first quarter</w:t>
            </w:r>
          </w:p>
        </w:tc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5F5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7178ED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AA3333"/>
                <w:sz w:val="20"/>
                <w:szCs w:val="20"/>
              </w:rPr>
              <w:t>No timeframe = no proof of velocity</w:t>
            </w:r>
          </w:p>
        </w:tc>
      </w:tr>
    </w:tbl>
    <w:p w14:paraId="5A269910" w14:textId="77777777" w:rsidR="00C05CFF" w:rsidRDefault="00C05CFF">
      <w:pPr>
        <w:spacing w:before="200"/>
      </w:pPr>
    </w:p>
    <w:p w14:paraId="15CADC39" w14:textId="77777777" w:rsidR="00C05CFF" w:rsidRDefault="00000000">
      <w:pPr>
        <w:spacing w:before="200" w:after="80" w:line="280" w:lineRule="auto"/>
      </w:pPr>
      <w:r>
        <w:rPr>
          <w:rFonts w:ascii="Arial" w:eastAsia="Arial" w:hAnsi="Arial" w:cs="Arial"/>
          <w:b/>
          <w:bCs/>
          <w:color w:val="1B3A6B"/>
        </w:rPr>
        <w:t>Draft Your Business Outcome Statement™</w:t>
      </w:r>
    </w:p>
    <w:p w14:paraId="226F4648" w14:textId="77777777" w:rsidR="00C05CFF" w:rsidRDefault="00000000">
      <w:pPr>
        <w:spacing w:before="40" w:after="80" w:line="300" w:lineRule="auto"/>
      </w:pPr>
      <w:r>
        <w:rPr>
          <w:i/>
          <w:iCs/>
          <w:color w:val="666666"/>
          <w:sz w:val="20"/>
          <w:szCs w:val="20"/>
        </w:rPr>
        <w:t>Using your SIR evidence from Section 1, draft your statement here. Aim for one sentence. Maximum two.</w:t>
      </w:r>
    </w:p>
    <w:p w14:paraId="21E80E40" w14:textId="77777777" w:rsidR="00C05CFF" w:rsidRDefault="00C05CFF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5B3DFC0F" w14:textId="77777777">
        <w:tc>
          <w:tcPr>
            <w:tcW w:w="9360" w:type="dxa"/>
            <w:tcBorders>
              <w:top w:val="single" w:sz="8" w:space="0" w:color="1B3A6B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5E777BC6" w14:textId="77777777" w:rsidR="00C05CFF" w:rsidRDefault="00000000">
            <w:pPr>
              <w:spacing w:after="60" w:line="280" w:lineRule="auto"/>
            </w:pPr>
            <w:r>
              <w:rPr>
                <w:rFonts w:ascii="Arial" w:eastAsia="Arial" w:hAnsi="Arial" w:cs="Arial"/>
                <w:b/>
                <w:bCs/>
                <w:color w:val="666666"/>
                <w:spacing w:val="40"/>
                <w:sz w:val="18"/>
                <w:szCs w:val="18"/>
              </w:rPr>
              <w:t>YOUR BUSINESS OUTCOME STATEMENT™</w:t>
            </w:r>
          </w:p>
          <w:p w14:paraId="28D4428F" w14:textId="77777777" w:rsidR="00C05CFF" w:rsidRDefault="00000000">
            <w:pPr>
              <w:spacing w:after="200" w:line="340" w:lineRule="auto"/>
            </w:pPr>
            <w:r>
              <w:rPr>
                <w:i/>
                <w:iCs/>
                <w:color w:val="CCCCCC"/>
                <w:sz w:val="20"/>
                <w:szCs w:val="20"/>
              </w:rPr>
              <w:t>[PMO action verb]  +  [what was built or changed]  +  [organisation context]  +  [result metric]  +  [timeframe]</w:t>
            </w:r>
          </w:p>
          <w:p w14:paraId="720A2371" w14:textId="77777777" w:rsidR="00C05CFF" w:rsidRDefault="00C05CFF">
            <w:pPr>
              <w:spacing w:before="60" w:line="340" w:lineRule="auto"/>
            </w:pPr>
          </w:p>
          <w:p w14:paraId="09FE886F" w14:textId="77777777" w:rsidR="00C05CFF" w:rsidRDefault="00C05CFF">
            <w:pPr>
              <w:spacing w:before="60" w:line="340" w:lineRule="auto"/>
            </w:pPr>
          </w:p>
          <w:p w14:paraId="04C4D0D6" w14:textId="77777777" w:rsidR="00C05CFF" w:rsidRDefault="00C05CFF">
            <w:pPr>
              <w:spacing w:before="60" w:line="340" w:lineRule="auto"/>
            </w:pPr>
          </w:p>
          <w:p w14:paraId="0D8C524D" w14:textId="77777777" w:rsidR="00C05CFF" w:rsidRDefault="00C05CFF">
            <w:pPr>
              <w:spacing w:before="60" w:line="340" w:lineRule="auto"/>
            </w:pPr>
          </w:p>
        </w:tc>
      </w:tr>
    </w:tbl>
    <w:p w14:paraId="73FBAC1B" w14:textId="77777777" w:rsidR="00C05CFF" w:rsidRDefault="00C05CF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135AA85F" w14:textId="77777777">
        <w:tc>
          <w:tcPr>
            <w:tcW w:w="9360" w:type="dxa"/>
            <w:tcBorders>
              <w:top w:val="single" w:sz="8" w:space="0" w:color="0D6E6E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19066DCA" w14:textId="77777777" w:rsidR="00C05CF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0D6E6E"/>
                <w:spacing w:val="40"/>
                <w:sz w:val="19"/>
                <w:szCs w:val="19"/>
              </w:rPr>
              <w:t>TEST YOUR STATEMENT</w:t>
            </w:r>
          </w:p>
          <w:p w14:paraId="26AE9A1A" w14:textId="77777777" w:rsidR="00C05CFF" w:rsidRDefault="00000000">
            <w:pPr>
              <w:spacing w:line="300" w:lineRule="auto"/>
              <w:jc w:val="both"/>
            </w:pPr>
            <w:r>
              <w:rPr>
                <w:color w:val="333333"/>
                <w:sz w:val="21"/>
                <w:szCs w:val="21"/>
              </w:rPr>
              <w:t>Read it aloud. If it takes more than 15 seconds to deliver, it is too long. If it does not contain a number, a timeframe, and a PMO action — rewrite it. A statement that passes this test can be used in a proposal, a LinkedIn post, a board update, or a budget defence. It is your most versatile proof asset.</w:t>
            </w:r>
          </w:p>
        </w:tc>
      </w:tr>
    </w:tbl>
    <w:p w14:paraId="17F9FE95" w14:textId="77777777" w:rsidR="00C05CFF" w:rsidRDefault="00C05CFF">
      <w:pPr>
        <w:pageBreakBefore/>
      </w:pPr>
    </w:p>
    <w:p w14:paraId="6CA86B33" w14:textId="77777777" w:rsidR="00C05CFF" w:rsidRDefault="00000000">
      <w:pPr>
        <w:spacing w:after="60"/>
      </w:pPr>
      <w:r>
        <w:rPr>
          <w:rFonts w:ascii="Arial" w:eastAsia="Arial" w:hAnsi="Arial" w:cs="Arial"/>
          <w:b/>
          <w:bCs/>
          <w:color w:val="C9A84C"/>
          <w:spacing w:val="80"/>
          <w:sz w:val="19"/>
          <w:szCs w:val="19"/>
        </w:rPr>
        <w:t>SECTION 3</w:t>
      </w:r>
    </w:p>
    <w:p w14:paraId="142571E6" w14:textId="77777777" w:rsidR="00C05CFF" w:rsidRDefault="00000000">
      <w:pPr>
        <w:spacing w:before="60" w:after="80" w:line="300" w:lineRule="auto"/>
      </w:pPr>
      <w:r>
        <w:rPr>
          <w:rFonts w:ascii="Arial" w:eastAsia="Arial" w:hAnsi="Arial" w:cs="Arial"/>
          <w:b/>
          <w:bCs/>
          <w:color w:val="1B3A6B"/>
          <w:sz w:val="36"/>
          <w:szCs w:val="36"/>
        </w:rPr>
        <w:t>ROI Calculation Template</w:t>
      </w:r>
    </w:p>
    <w:p w14:paraId="7B8F4D75" w14:textId="77777777" w:rsidR="00C05CFF" w:rsidRDefault="00000000">
      <w:pPr>
        <w:spacing w:after="240" w:line="300" w:lineRule="auto"/>
      </w:pPr>
      <w:r>
        <w:rPr>
          <w:i/>
          <w:iCs/>
          <w:color w:val="0D6E6E"/>
        </w:rPr>
        <w:t>Quantify the return — financial, directional, or both</w:t>
      </w:r>
    </w:p>
    <w:p w14:paraId="439B7797" w14:textId="77777777" w:rsidR="00C05CFF" w:rsidRDefault="00C05CFF">
      <w:pPr>
        <w:pBdr>
          <w:bottom w:val="single" w:sz="6" w:space="1" w:color="C9A84C"/>
        </w:pBdr>
        <w:spacing w:before="100" w:after="100"/>
      </w:pPr>
    </w:p>
    <w:p w14:paraId="3E47BFE3" w14:textId="77777777" w:rsidR="00C05CFF" w:rsidRDefault="00C05CFF">
      <w:pPr>
        <w:spacing w:before="160"/>
      </w:pPr>
    </w:p>
    <w:p w14:paraId="61992DBF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>The ~45% portfolio ROI improvement at ADNOC is the most cited metric in Chapter 9. But ROI is not only a financial calculation. In a PMO context, return on investment includes time saved, decisions enabled, risks avoided, and benefits realised that would have leaked without the PMO’s intervention.</w:t>
      </w:r>
    </w:p>
    <w:p w14:paraId="4C7CE0C3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>This section gives you three calculation models: financial ROI, time-value ROI, and directional ROI for outcomes that cannot yet be precisely quantified. Use the model that fits your available data. A directional result with a clear source is more credible than an unsupported financial claim.</w:t>
      </w:r>
    </w:p>
    <w:p w14:paraId="6DC773A7" w14:textId="77777777" w:rsidR="00C05CFF" w:rsidRDefault="00C05CFF">
      <w:pPr>
        <w:spacing w:before="120"/>
      </w:pPr>
    </w:p>
    <w:p w14:paraId="17ACAD34" w14:textId="77777777" w:rsidR="00C05CFF" w:rsidRDefault="00000000">
      <w:pPr>
        <w:spacing w:before="200" w:after="80" w:line="280" w:lineRule="auto"/>
      </w:pPr>
      <w:r>
        <w:rPr>
          <w:rFonts w:ascii="Arial" w:eastAsia="Arial" w:hAnsi="Arial" w:cs="Arial"/>
          <w:b/>
          <w:bCs/>
          <w:color w:val="1B3A6B"/>
        </w:rPr>
        <w:t>Model A — Financial ROI</w:t>
      </w:r>
    </w:p>
    <w:p w14:paraId="567D6E25" w14:textId="77777777" w:rsidR="00C05CFF" w:rsidRDefault="00000000">
      <w:pPr>
        <w:spacing w:before="40" w:after="80" w:line="300" w:lineRule="auto"/>
      </w:pPr>
      <w:r>
        <w:rPr>
          <w:i/>
          <w:iCs/>
          <w:color w:val="666666"/>
          <w:sz w:val="20"/>
          <w:szCs w:val="20"/>
        </w:rPr>
        <w:t>Use when you can quantify the PMO’s contribution in monetary terms.</w:t>
      </w:r>
    </w:p>
    <w:p w14:paraId="24F75B82" w14:textId="77777777" w:rsidR="00C05CFF" w:rsidRDefault="00C05CFF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7"/>
        <w:gridCol w:w="6063"/>
      </w:tblGrid>
      <w:tr w:rsidR="00C05CFF" w14:paraId="47FA9E14" w14:textId="77777777">
        <w:tc>
          <w:tcPr>
            <w:tcW w:w="9360" w:type="dxa"/>
            <w:gridSpan w:val="2"/>
            <w:tcBorders>
              <w:top w:val="single" w:sz="8" w:space="0" w:color="C9A84C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DF8E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07E4A71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B3A6B"/>
                <w:spacing w:val="40"/>
                <w:sz w:val="20"/>
                <w:szCs w:val="20"/>
              </w:rPr>
              <w:t>FINANCIAL ROI WORKSHEET</w:t>
            </w:r>
          </w:p>
        </w:tc>
      </w:tr>
      <w:tr w:rsidR="00C05CFF" w14:paraId="7FD1727A" w14:textId="77777777"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48F349D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Total PMO investment cost</w:t>
            </w:r>
          </w:p>
        </w:tc>
        <w:tc>
          <w:tcPr>
            <w:tcW w:w="57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E25296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Staff time (hrs × rate) + tools + external resource cost = AED / USD ________</w:t>
            </w:r>
          </w:p>
          <w:p w14:paraId="69871F87" w14:textId="77777777" w:rsidR="00C05CFF" w:rsidRDefault="00C05CFF">
            <w:pPr>
              <w:spacing w:before="60" w:line="280" w:lineRule="auto"/>
            </w:pPr>
          </w:p>
        </w:tc>
      </w:tr>
      <w:tr w:rsidR="00C05CFF" w14:paraId="712A0E16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121BCDD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Financial benefit 1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573E95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Vendor penalties recovered = AED ________</w:t>
            </w:r>
          </w:p>
          <w:p w14:paraId="7C089ADD" w14:textId="77777777" w:rsidR="00C05CFF" w:rsidRDefault="00C05CFF">
            <w:pPr>
              <w:spacing w:before="60" w:line="280" w:lineRule="auto"/>
            </w:pPr>
          </w:p>
        </w:tc>
      </w:tr>
      <w:tr w:rsidR="00C05CFF" w14:paraId="13E8BDE8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56B614B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Financial benefit 2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3806B77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Delayed invoice cycle eliminated = AED ________</w:t>
            </w:r>
          </w:p>
          <w:p w14:paraId="60A77963" w14:textId="77777777" w:rsidR="00C05CFF" w:rsidRDefault="00C05CFF">
            <w:pPr>
              <w:spacing w:before="60" w:line="280" w:lineRule="auto"/>
            </w:pPr>
          </w:p>
        </w:tc>
      </w:tr>
      <w:tr w:rsidR="00C05CFF" w14:paraId="78CB917E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CA392F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Financial benefit 3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30099FE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Avoided project write-off = AED ________</w:t>
            </w:r>
          </w:p>
          <w:p w14:paraId="4920578D" w14:textId="77777777" w:rsidR="00C05CFF" w:rsidRDefault="00C05CFF">
            <w:pPr>
              <w:spacing w:before="60" w:line="280" w:lineRule="auto"/>
            </w:pPr>
          </w:p>
        </w:tc>
      </w:tr>
      <w:tr w:rsidR="00C05CFF" w14:paraId="521B1EA6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997461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Total quantified benefit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E126C66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= AED / USD ________  (sum of all benefit lines above)</w:t>
            </w:r>
          </w:p>
          <w:p w14:paraId="23D589FB" w14:textId="77777777" w:rsidR="00C05CFF" w:rsidRDefault="00C05CFF">
            <w:pPr>
              <w:spacing w:before="60" w:line="280" w:lineRule="auto"/>
            </w:pPr>
          </w:p>
        </w:tc>
      </w:tr>
      <w:tr w:rsidR="00C05CFF" w14:paraId="6BB1484E" w14:textId="77777777">
        <w:tc>
          <w:tcPr>
            <w:tcW w:w="3600" w:type="dxa"/>
            <w:tcBorders>
              <w:top w:val="single" w:sz="8" w:space="0" w:color="1B3A6B"/>
              <w:left w:val="single" w:sz="1" w:space="0" w:color="C5D2E0"/>
              <w:bottom w:val="single" w:sz="8" w:space="0" w:color="1B3A6B"/>
              <w:right w:val="single" w:sz="1" w:space="0" w:color="C5D2E0"/>
            </w:tcBorders>
            <w:shd w:val="clear" w:color="auto" w:fill="EEF3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573B68B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1"/>
                <w:szCs w:val="21"/>
              </w:rPr>
              <w:t>Net Benefit (Benefit − Cost)</w:t>
            </w:r>
          </w:p>
        </w:tc>
        <w:tc>
          <w:tcPr>
            <w:tcW w:w="5760" w:type="dxa"/>
            <w:tcBorders>
              <w:top w:val="single" w:sz="8" w:space="0" w:color="1B3A6B"/>
              <w:left w:val="single" w:sz="1" w:space="0" w:color="C5D2E0"/>
              <w:bottom w:val="single" w:sz="8" w:space="0" w:color="1B3A6B"/>
              <w:right w:val="single" w:sz="1" w:space="0" w:color="C5D2E0"/>
            </w:tcBorders>
            <w:shd w:val="clear" w:color="auto" w:fill="EEF7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32EF671" w14:textId="77777777" w:rsidR="00C05CFF" w:rsidRDefault="00000000">
            <w:r>
              <w:rPr>
                <w:color w:val="333333"/>
                <w:sz w:val="21"/>
                <w:szCs w:val="21"/>
              </w:rPr>
              <w:t>= AED / USD ________  (Total benefit − Total investment)</w:t>
            </w:r>
          </w:p>
        </w:tc>
      </w:tr>
      <w:tr w:rsidR="00C05CFF" w14:paraId="422E2240" w14:textId="77777777"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8" w:space="0" w:color="1B3A6B"/>
              <w:right w:val="single" w:sz="1" w:space="0" w:color="C5D2E0"/>
            </w:tcBorders>
            <w:shd w:val="clear" w:color="auto" w:fill="EEF3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B2FD0E6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1"/>
                <w:szCs w:val="21"/>
              </w:rPr>
              <w:t>ROI %  =  (Net Benefit ÷ Investment) × 100</w:t>
            </w:r>
          </w:p>
        </w:tc>
        <w:tc>
          <w:tcPr>
            <w:tcW w:w="5760" w:type="dxa"/>
            <w:tcBorders>
              <w:top w:val="single" w:sz="1" w:space="0" w:color="C5D2E0"/>
              <w:left w:val="single" w:sz="1" w:space="0" w:color="C5D2E0"/>
              <w:bottom w:val="single" w:sz="8" w:space="0" w:color="1B3A6B"/>
              <w:right w:val="single" w:sz="1" w:space="0" w:color="C5D2E0"/>
            </w:tcBorders>
            <w:shd w:val="clear" w:color="auto" w:fill="EEF7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46DC512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0D6E6E"/>
                <w:sz w:val="24"/>
                <w:szCs w:val="24"/>
              </w:rPr>
              <w:t>= ________ %</w:t>
            </w:r>
          </w:p>
        </w:tc>
      </w:tr>
      <w:tr w:rsidR="00C05CFF" w14:paraId="415AF3D3" w14:textId="77777777">
        <w:tc>
          <w:tcPr>
            <w:tcW w:w="36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EE4BB80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1B3A6B"/>
                <w:sz w:val="21"/>
                <w:szCs w:val="21"/>
              </w:rPr>
              <w:t>Payback Period</w:t>
            </w:r>
          </w:p>
        </w:tc>
        <w:tc>
          <w:tcPr>
            <w:tcW w:w="57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7FA1DEE" w14:textId="77777777" w:rsidR="00C05CFF" w:rsidRDefault="00000000">
            <w:r>
              <w:rPr>
                <w:color w:val="333333"/>
                <w:sz w:val="21"/>
                <w:szCs w:val="21"/>
              </w:rPr>
              <w:t>= ________ months  (Investment ÷ Monthly benefit rate)</w:t>
            </w:r>
          </w:p>
        </w:tc>
      </w:tr>
      <w:tr w:rsidR="00C05CFF" w14:paraId="58861C1A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948C09D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Source / confirmation reference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7123481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Governance board sign-off, September 2025 · Finance team confirmation</w:t>
            </w:r>
          </w:p>
          <w:p w14:paraId="70752129" w14:textId="77777777" w:rsidR="00C05CFF" w:rsidRDefault="00C05CFF">
            <w:pPr>
              <w:spacing w:before="60" w:line="280" w:lineRule="auto"/>
            </w:pPr>
          </w:p>
        </w:tc>
      </w:tr>
    </w:tbl>
    <w:p w14:paraId="2BF0F52D" w14:textId="77777777" w:rsidR="00C05CFF" w:rsidRDefault="00C05CFF">
      <w:pPr>
        <w:spacing w:before="200"/>
      </w:pPr>
    </w:p>
    <w:p w14:paraId="55FA901F" w14:textId="77777777" w:rsidR="00C05CFF" w:rsidRDefault="00000000">
      <w:pPr>
        <w:spacing w:before="200" w:after="80" w:line="280" w:lineRule="auto"/>
      </w:pPr>
      <w:r>
        <w:rPr>
          <w:rFonts w:ascii="Arial" w:eastAsia="Arial" w:hAnsi="Arial" w:cs="Arial"/>
          <w:b/>
          <w:bCs/>
          <w:color w:val="1B3A6B"/>
        </w:rPr>
        <w:t>Model B — Time-Value ROI</w:t>
      </w:r>
    </w:p>
    <w:p w14:paraId="0877C7C3" w14:textId="77777777" w:rsidR="00C05CFF" w:rsidRDefault="00000000">
      <w:pPr>
        <w:spacing w:before="40" w:after="80" w:line="300" w:lineRule="auto"/>
      </w:pPr>
      <w:r>
        <w:rPr>
          <w:i/>
          <w:iCs/>
          <w:color w:val="666666"/>
          <w:sz w:val="20"/>
          <w:szCs w:val="20"/>
        </w:rPr>
        <w:t>Use when the primary outcome is time saved — for the executive sponsor, for delivery teams, or for the organisation’s decision cycle.</w:t>
      </w:r>
    </w:p>
    <w:p w14:paraId="763736CA" w14:textId="77777777" w:rsidR="00C05CFF" w:rsidRDefault="00C05CFF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6840"/>
      </w:tblGrid>
      <w:tr w:rsidR="00C05CFF" w14:paraId="4187E350" w14:textId="77777777">
        <w:tc>
          <w:tcPr>
            <w:tcW w:w="9360" w:type="dxa"/>
            <w:gridSpan w:val="2"/>
            <w:tcBorders>
              <w:top w:val="single" w:sz="8" w:space="0" w:color="0D6E6E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7F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F3DD101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B3A6B"/>
                <w:spacing w:val="40"/>
                <w:sz w:val="20"/>
                <w:szCs w:val="20"/>
              </w:rPr>
              <w:t>TIME-VALUE ROI WORKSHEET</w:t>
            </w:r>
          </w:p>
        </w:tc>
      </w:tr>
      <w:tr w:rsidR="00C05CFF" w14:paraId="064DD573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52846A3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Time saved per cycle (Before vs After)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2A9522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Executive reporting cycle: 18 hrs → 3 hrs = 15 hrs saved per week</w:t>
            </w:r>
          </w:p>
          <w:p w14:paraId="0DA822DB" w14:textId="77777777" w:rsidR="00C05CFF" w:rsidRDefault="00C05CFF">
            <w:pPr>
              <w:spacing w:before="60" w:line="280" w:lineRule="auto"/>
            </w:pPr>
          </w:p>
        </w:tc>
      </w:tr>
      <w:tr w:rsidR="00C05CFF" w14:paraId="07DB34B0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023E7E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Number of stakeholders benefiting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8245DF0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4 executives × average seniority rate = AED ________ / hour</w:t>
            </w:r>
          </w:p>
          <w:p w14:paraId="663484E5" w14:textId="77777777" w:rsidR="00C05CFF" w:rsidRDefault="00C05CFF">
            <w:pPr>
              <w:spacing w:before="60" w:line="280" w:lineRule="auto"/>
            </w:pPr>
          </w:p>
        </w:tc>
      </w:tr>
      <w:tr w:rsidR="00C05CFF" w14:paraId="544DBD9C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810233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Financial equivalent per week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3E5C8F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= Time saved × Rate × Stakeholders = AED ________</w:t>
            </w:r>
          </w:p>
          <w:p w14:paraId="5A71A181" w14:textId="77777777" w:rsidR="00C05CFF" w:rsidRDefault="00C05CFF">
            <w:pPr>
              <w:spacing w:before="60" w:line="280" w:lineRule="auto"/>
            </w:pPr>
          </w:p>
        </w:tc>
      </w:tr>
      <w:tr w:rsidR="00C05CFF" w14:paraId="147BF9EB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56FEB27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Annualised time-value benefit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19D1D11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= Weekly value × 48 working weeks = AED ________</w:t>
            </w:r>
          </w:p>
          <w:p w14:paraId="33711694" w14:textId="77777777" w:rsidR="00C05CFF" w:rsidRDefault="00C05CFF">
            <w:pPr>
              <w:spacing w:before="60" w:line="280" w:lineRule="auto"/>
            </w:pPr>
          </w:p>
        </w:tc>
      </w:tr>
      <w:tr w:rsidR="00C05CFF" w14:paraId="3EB5E1A0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32F7127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Decision cycle improvement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E14DBA0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Average decision lag reduced from 14 days to 3 days (TAQA model)</w:t>
            </w:r>
          </w:p>
          <w:p w14:paraId="013A9013" w14:textId="77777777" w:rsidR="00C05CFF" w:rsidRDefault="00C05CFF">
            <w:pPr>
              <w:spacing w:before="60" w:line="280" w:lineRule="auto"/>
            </w:pPr>
          </w:p>
        </w:tc>
      </w:tr>
      <w:tr w:rsidR="00C05CFF" w14:paraId="0B286DFE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9D7DDB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Business impact of faster decisions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F231D8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Earlier release of AED ________ in initiative budgets per quarter</w:t>
            </w:r>
          </w:p>
          <w:p w14:paraId="3C6F0BE7" w14:textId="77777777" w:rsidR="00C05CFF" w:rsidRDefault="00C05CFF">
            <w:pPr>
              <w:spacing w:before="60" w:line="280" w:lineRule="auto"/>
            </w:pPr>
          </w:p>
        </w:tc>
      </w:tr>
      <w:tr w:rsidR="00C05CFF" w14:paraId="65E2E2FB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107148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Source / confirmation reference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6D69FFC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Time-tracking data, sponsor interview, Q2 2025 governance review</w:t>
            </w:r>
          </w:p>
          <w:p w14:paraId="22C475AB" w14:textId="77777777" w:rsidR="00C05CFF" w:rsidRDefault="00C05CFF">
            <w:pPr>
              <w:spacing w:before="60" w:line="280" w:lineRule="auto"/>
            </w:pPr>
          </w:p>
        </w:tc>
      </w:tr>
    </w:tbl>
    <w:p w14:paraId="4C2AAA6C" w14:textId="77777777" w:rsidR="00C05CFF" w:rsidRDefault="00C05CFF">
      <w:pPr>
        <w:spacing w:before="200"/>
      </w:pPr>
    </w:p>
    <w:p w14:paraId="1BD8D903" w14:textId="77777777" w:rsidR="00C05CFF" w:rsidRDefault="00000000">
      <w:pPr>
        <w:spacing w:before="200" w:after="80" w:line="280" w:lineRule="auto"/>
      </w:pPr>
      <w:r>
        <w:rPr>
          <w:rFonts w:ascii="Arial" w:eastAsia="Arial" w:hAnsi="Arial" w:cs="Arial"/>
          <w:b/>
          <w:bCs/>
          <w:color w:val="1B3A6B"/>
        </w:rPr>
        <w:t>Model C — Directional Value Statement</w:t>
      </w:r>
    </w:p>
    <w:p w14:paraId="690A1184" w14:textId="77777777" w:rsidR="00C05CFF" w:rsidRDefault="00000000">
      <w:pPr>
        <w:spacing w:before="40" w:after="80" w:line="300" w:lineRule="auto"/>
      </w:pPr>
      <w:r>
        <w:rPr>
          <w:i/>
          <w:iCs/>
          <w:color w:val="666666"/>
          <w:sz w:val="20"/>
          <w:szCs w:val="20"/>
        </w:rPr>
        <w:t>Use when financial or time quantification is not yet possible — but where a specific, evidenced outcome can be stated with a clear direction of change.</w:t>
      </w:r>
    </w:p>
    <w:p w14:paraId="424EF575" w14:textId="77777777" w:rsidR="00C05CFF" w:rsidRDefault="00C05CFF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4E688631" w14:textId="77777777">
        <w:tc>
          <w:tcPr>
            <w:tcW w:w="9360" w:type="dxa"/>
            <w:tcBorders>
              <w:top w:val="single" w:sz="8" w:space="0" w:color="C9A84C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DF8E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6A2B50AF" w14:textId="77777777" w:rsidR="00C05CF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A84C"/>
                <w:spacing w:val="40"/>
                <w:sz w:val="19"/>
                <w:szCs w:val="19"/>
              </w:rPr>
              <w:t>WHEN TO USE THIS MODEL</w:t>
            </w:r>
          </w:p>
          <w:p w14:paraId="1AC338D8" w14:textId="77777777" w:rsidR="00C05CFF" w:rsidRDefault="00000000">
            <w:pPr>
              <w:spacing w:line="300" w:lineRule="auto"/>
              <w:jc w:val="both"/>
            </w:pPr>
            <w:r>
              <w:rPr>
                <w:color w:val="333333"/>
                <w:sz w:val="21"/>
                <w:szCs w:val="21"/>
              </w:rPr>
              <w:t>A directional statement is not a weak substitute for a financial figure. It is the appropriate response when the outcome is real, evidenced, and significant — but the precise financial value cannot yet be confirmed. Use it alongside a source reference and a commitment to measure. The TAQA case study originally began as a directional statement (“executive decisions are faster”) before the 20–30% estimate was confirmed.</w:t>
            </w:r>
          </w:p>
        </w:tc>
      </w:tr>
    </w:tbl>
    <w:p w14:paraId="1AF0E9D5" w14:textId="77777777" w:rsidR="00C05CFF" w:rsidRDefault="00C05CFF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0"/>
        <w:gridCol w:w="6840"/>
      </w:tblGrid>
      <w:tr w:rsidR="00C05CFF" w14:paraId="76D479C4" w14:textId="77777777">
        <w:tc>
          <w:tcPr>
            <w:tcW w:w="9360" w:type="dxa"/>
            <w:gridSpan w:val="2"/>
            <w:tcBorders>
              <w:top w:val="single" w:sz="8" w:space="0" w:color="666666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74756AA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B3A6B"/>
                <w:spacing w:val="40"/>
                <w:sz w:val="20"/>
                <w:szCs w:val="20"/>
              </w:rPr>
              <w:t>DIRECTIONAL VALUE WORKSHEET</w:t>
            </w:r>
          </w:p>
        </w:tc>
      </w:tr>
      <w:tr w:rsidR="00C05CFF" w14:paraId="46483444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0505561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What changed (observable evidence)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4E849C6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Executive references PMO data in board papers. Escalation requests reduced to zero.</w:t>
            </w:r>
          </w:p>
          <w:p w14:paraId="4E62FB1C" w14:textId="77777777" w:rsidR="00C05CFF" w:rsidRDefault="00C05CFF">
            <w:pPr>
              <w:spacing w:before="60" w:line="280" w:lineRule="auto"/>
            </w:pPr>
          </w:p>
        </w:tc>
      </w:tr>
      <w:tr w:rsidR="00C05CFF" w14:paraId="665EF9EF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B09FF66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Direction of change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97DF12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Improved · Reduced · Eliminated · Established for the first time · Restored</w:t>
            </w:r>
          </w:p>
          <w:p w14:paraId="42558869" w14:textId="77777777" w:rsidR="00C05CFF" w:rsidRDefault="00C05CFF">
            <w:pPr>
              <w:spacing w:before="60" w:line="280" w:lineRule="auto"/>
            </w:pPr>
          </w:p>
        </w:tc>
      </w:tr>
      <w:tr w:rsidR="00C05CFF" w14:paraId="63A49F82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4A74533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Magnitude indicator (if any)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016ADA4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Significantly / Substantially / Within X days / By approximately X%</w:t>
            </w:r>
          </w:p>
          <w:p w14:paraId="01102694" w14:textId="77777777" w:rsidR="00C05CFF" w:rsidRDefault="00C05CFF">
            <w:pPr>
              <w:spacing w:before="60" w:line="280" w:lineRule="auto"/>
            </w:pPr>
          </w:p>
        </w:tc>
      </w:tr>
      <w:tr w:rsidR="00C05CFF" w14:paraId="1885DC0A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D881802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Why this matters to the organisation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90DE277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Decisions that previously required 3 data requests now require zero.</w:t>
            </w:r>
          </w:p>
          <w:p w14:paraId="14B5ABA0" w14:textId="77777777" w:rsidR="00C05CFF" w:rsidRDefault="00C05CFF">
            <w:pPr>
              <w:spacing w:before="60" w:line="280" w:lineRule="auto"/>
            </w:pPr>
          </w:p>
        </w:tc>
      </w:tr>
      <w:tr w:rsidR="00C05CFF" w14:paraId="208F9C71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25726F9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Conversion plan (when will this become quantified?)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47F1944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Will confirm financial value at Q3 governance review with finance team.</w:t>
            </w:r>
          </w:p>
          <w:p w14:paraId="5AF91460" w14:textId="77777777" w:rsidR="00C05CFF" w:rsidRDefault="00C05CFF">
            <w:pPr>
              <w:spacing w:before="60" w:line="280" w:lineRule="auto"/>
            </w:pPr>
          </w:p>
        </w:tc>
      </w:tr>
      <w:tr w:rsidR="00C05CFF" w14:paraId="211D4BA1" w14:textId="77777777">
        <w:tc>
          <w:tcPr>
            <w:tcW w:w="25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0714E4D" w14:textId="77777777" w:rsidR="00C05CFF" w:rsidRDefault="00000000">
            <w:pPr>
              <w:spacing w:line="280" w:lineRule="auto"/>
            </w:pPr>
            <w:r>
              <w:rPr>
                <w:rFonts w:ascii="Arial" w:eastAsia="Arial" w:hAnsi="Arial" w:cs="Arial"/>
                <w:b/>
                <w:bCs/>
                <w:color w:val="1B3A6B"/>
                <w:sz w:val="20"/>
                <w:szCs w:val="20"/>
              </w:rPr>
              <w:t>Source / evidence reference</w:t>
            </w:r>
          </w:p>
        </w:tc>
        <w:tc>
          <w:tcPr>
            <w:tcW w:w="6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55D5C31A" w14:textId="77777777" w:rsidR="00C05CFF" w:rsidRDefault="00000000">
            <w:pPr>
              <w:spacing w:line="280" w:lineRule="auto"/>
            </w:pPr>
            <w:r>
              <w:rPr>
                <w:i/>
                <w:iCs/>
                <w:color w:val="AAAAAA"/>
                <w:sz w:val="20"/>
                <w:szCs w:val="20"/>
              </w:rPr>
              <w:t>e.g. Sponsor verbal confirmation · Governance minutes · Dashboard export</w:t>
            </w:r>
          </w:p>
          <w:p w14:paraId="04AAA234" w14:textId="77777777" w:rsidR="00C05CFF" w:rsidRDefault="00C05CFF">
            <w:pPr>
              <w:spacing w:before="60" w:line="280" w:lineRule="auto"/>
            </w:pPr>
          </w:p>
        </w:tc>
      </w:tr>
    </w:tbl>
    <w:p w14:paraId="7BEB35CD" w14:textId="77777777" w:rsidR="00C05CFF" w:rsidRDefault="00C05CFF">
      <w:pPr>
        <w:pageBreakBefore/>
      </w:pPr>
    </w:p>
    <w:p w14:paraId="097C0345" w14:textId="77777777" w:rsidR="00C05CFF" w:rsidRDefault="00000000">
      <w:pPr>
        <w:spacing w:after="60"/>
      </w:pPr>
      <w:r>
        <w:rPr>
          <w:rFonts w:ascii="Arial" w:eastAsia="Arial" w:hAnsi="Arial" w:cs="Arial"/>
          <w:b/>
          <w:bCs/>
          <w:color w:val="C9A84C"/>
          <w:spacing w:val="80"/>
          <w:sz w:val="19"/>
          <w:szCs w:val="19"/>
        </w:rPr>
        <w:t>SECTION 4</w:t>
      </w:r>
    </w:p>
    <w:p w14:paraId="7596230A" w14:textId="77777777" w:rsidR="00C05CFF" w:rsidRDefault="00000000">
      <w:pPr>
        <w:spacing w:before="60" w:after="80" w:line="300" w:lineRule="auto"/>
      </w:pPr>
      <w:r>
        <w:rPr>
          <w:rFonts w:ascii="Arial" w:eastAsia="Arial" w:hAnsi="Arial" w:cs="Arial"/>
          <w:b/>
          <w:bCs/>
          <w:color w:val="1B3A6B"/>
          <w:sz w:val="36"/>
          <w:szCs w:val="36"/>
        </w:rPr>
        <w:t>Your Case Study Builder</w:t>
      </w:r>
    </w:p>
    <w:p w14:paraId="1BCB2095" w14:textId="77777777" w:rsidR="00C05CFF" w:rsidRDefault="00000000">
      <w:pPr>
        <w:spacing w:after="240" w:line="300" w:lineRule="auto"/>
      </w:pPr>
      <w:r>
        <w:rPr>
          <w:i/>
          <w:iCs/>
          <w:color w:val="0D6E6E"/>
        </w:rPr>
        <w:t>A full, formatted case study — modelled on Chapter 9</w:t>
      </w:r>
    </w:p>
    <w:p w14:paraId="5AADC7F9" w14:textId="77777777" w:rsidR="00C05CFF" w:rsidRDefault="00C05CFF">
      <w:pPr>
        <w:pBdr>
          <w:bottom w:val="single" w:sz="6" w:space="1" w:color="C9A84C"/>
        </w:pBdr>
        <w:spacing w:before="100" w:after="100"/>
      </w:pPr>
    </w:p>
    <w:p w14:paraId="57DD7F1C" w14:textId="77777777" w:rsidR="00C05CFF" w:rsidRDefault="00C05CFF">
      <w:pPr>
        <w:spacing w:before="160"/>
      </w:pPr>
    </w:p>
    <w:p w14:paraId="67624556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>This section assembles everything from Sections 1–3 into a complete, publication-ready case study. The structure mirrors the three confirmed case studies in Chapter 9. Complete one builder per major engagement outcome. A completed builder can be used directly in proposals, executive briefings, RFP responses, and budget defence presentations.</w:t>
      </w:r>
    </w:p>
    <w:p w14:paraId="400AF139" w14:textId="77777777" w:rsidR="00C05CFF" w:rsidRDefault="00C05CFF">
      <w:pPr>
        <w:spacing w:before="12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69819941" w14:textId="77777777">
        <w:tc>
          <w:tcPr>
            <w:tcW w:w="9360" w:type="dxa"/>
            <w:tcBorders>
              <w:top w:val="single" w:sz="8" w:space="0" w:color="C9A84C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DF8E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ED4F0A5" w14:textId="77777777" w:rsidR="00C05CF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A84C"/>
                <w:spacing w:val="40"/>
                <w:sz w:val="19"/>
                <w:szCs w:val="19"/>
              </w:rPr>
              <w:t>INSTRUCTION</w:t>
            </w:r>
          </w:p>
          <w:p w14:paraId="4A20DB15" w14:textId="77777777" w:rsidR="00C05CFF" w:rsidRDefault="00000000">
            <w:pPr>
              <w:spacing w:line="300" w:lineRule="auto"/>
              <w:jc w:val="both"/>
            </w:pPr>
            <w:r>
              <w:rPr>
                <w:color w:val="333333"/>
                <w:sz w:val="21"/>
                <w:szCs w:val="21"/>
              </w:rPr>
              <w:t>Pull your answers from Sections 1, 2, and 3. You will not need to rewrite anything — this is an assembly exercise. The fields below correspond directly to the inputs you have already captured.</w:t>
            </w:r>
          </w:p>
        </w:tc>
      </w:tr>
    </w:tbl>
    <w:p w14:paraId="2BE150A5" w14:textId="77777777" w:rsidR="00C05CFF" w:rsidRDefault="00C05CFF">
      <w:pPr>
        <w:spacing w:before="2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36029CA0" w14:textId="77777777">
        <w:tc>
          <w:tcPr>
            <w:tcW w:w="9360" w:type="dxa"/>
            <w:tcBorders>
              <w:top w:val="single" w:sz="8" w:space="0" w:color="1B3A6B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DDF9158" w14:textId="77777777" w:rsidR="00C05CFF" w:rsidRDefault="00000000">
            <w:pPr>
              <w:spacing w:after="40" w:line="280" w:lineRule="auto"/>
            </w:pPr>
            <w:r>
              <w:rPr>
                <w:rFonts w:ascii="Arial" w:eastAsia="Arial" w:hAnsi="Arial" w:cs="Arial"/>
                <w:b/>
                <w:bCs/>
                <w:color w:val="C9A84C"/>
                <w:spacing w:val="40"/>
                <w:sz w:val="18"/>
                <w:szCs w:val="18"/>
              </w:rPr>
              <w:t>CASE STUDY  ·  [SECTOR]  ·  [COUNTRY / REGION]</w:t>
            </w:r>
          </w:p>
          <w:p w14:paraId="04D7E125" w14:textId="77777777" w:rsidR="00C05CFF" w:rsidRDefault="00000000">
            <w:pPr>
              <w:spacing w:after="40" w:line="320" w:lineRule="auto"/>
            </w:pPr>
            <w:r>
              <w:rPr>
                <w:rFonts w:ascii="Arial" w:eastAsia="Arial" w:hAnsi="Arial" w:cs="Arial"/>
                <w:b/>
                <w:bCs/>
                <w:color w:val="FFFFFF"/>
                <w:sz w:val="32"/>
                <w:szCs w:val="32"/>
              </w:rPr>
              <w:t>[Organisation Name or Anonymised Descriptor]</w:t>
            </w:r>
          </w:p>
          <w:p w14:paraId="68E50BCD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C9A84C"/>
              </w:rPr>
              <w:t>[One-line impact summary — your Business Outcome Statement™]</w:t>
            </w:r>
          </w:p>
        </w:tc>
      </w:tr>
    </w:tbl>
    <w:p w14:paraId="1D3F8835" w14:textId="77777777" w:rsidR="00C05CFF" w:rsidRDefault="00C05CFF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C05CFF" w14:paraId="12259D1A" w14:textId="77777777">
        <w:tc>
          <w:tcPr>
            <w:tcW w:w="31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0D6E6E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29592A2E" w14:textId="77777777" w:rsidR="00C05CFF" w:rsidRDefault="00000000">
            <w:pPr>
              <w:spacing w:after="40" w:line="28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C9A84C"/>
                <w:sz w:val="26"/>
                <w:szCs w:val="26"/>
              </w:rPr>
              <w:t>Primary Metric</w:t>
            </w:r>
          </w:p>
          <w:p w14:paraId="5CB3E0C7" w14:textId="77777777" w:rsidR="00C05CFF" w:rsidRDefault="00000000">
            <w:pPr>
              <w:spacing w:line="260" w:lineRule="auto"/>
              <w:jc w:val="center"/>
            </w:pPr>
            <w:r>
              <w:rPr>
                <w:rFonts w:ascii="Arial" w:eastAsia="Arial" w:hAnsi="Arial" w:cs="Arial"/>
                <w:color w:val="C0D8E0"/>
                <w:sz w:val="18"/>
                <w:szCs w:val="18"/>
              </w:rPr>
              <w:t>[e.g. ~45% ROI improvement]</w:t>
            </w:r>
          </w:p>
        </w:tc>
        <w:tc>
          <w:tcPr>
            <w:tcW w:w="31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0D5060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7BC329BA" w14:textId="77777777" w:rsidR="00C05CFF" w:rsidRDefault="00000000">
            <w:pPr>
              <w:spacing w:after="40" w:line="28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C9A84C"/>
                <w:sz w:val="26"/>
                <w:szCs w:val="26"/>
              </w:rPr>
              <w:t>Secondary Metric</w:t>
            </w:r>
          </w:p>
          <w:p w14:paraId="0924B2F2" w14:textId="77777777" w:rsidR="00C05CFF" w:rsidRDefault="00000000">
            <w:pPr>
              <w:spacing w:line="260" w:lineRule="auto"/>
              <w:jc w:val="center"/>
            </w:pPr>
            <w:r>
              <w:rPr>
                <w:rFonts w:ascii="Arial" w:eastAsia="Arial" w:hAnsi="Arial" w:cs="Arial"/>
                <w:color w:val="C0D8E0"/>
                <w:sz w:val="18"/>
                <w:szCs w:val="18"/>
              </w:rPr>
              <w:t>[e.g. 100% visibility restored]</w:t>
            </w:r>
          </w:p>
        </w:tc>
        <w:tc>
          <w:tcPr>
            <w:tcW w:w="31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5FF19074" w14:textId="77777777" w:rsidR="00C05CFF" w:rsidRDefault="00000000">
            <w:pPr>
              <w:spacing w:after="40" w:line="28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C9A84C"/>
                <w:sz w:val="26"/>
                <w:szCs w:val="26"/>
              </w:rPr>
              <w:t>Engagement Duration</w:t>
            </w:r>
          </w:p>
          <w:p w14:paraId="513FA83A" w14:textId="77777777" w:rsidR="00C05CFF" w:rsidRDefault="00000000">
            <w:pPr>
              <w:spacing w:line="260" w:lineRule="auto"/>
              <w:jc w:val="center"/>
            </w:pPr>
            <w:r>
              <w:rPr>
                <w:rFonts w:ascii="Arial" w:eastAsia="Arial" w:hAnsi="Arial" w:cs="Arial"/>
                <w:color w:val="C0D8E0"/>
                <w:sz w:val="18"/>
                <w:szCs w:val="18"/>
              </w:rPr>
              <w:t>[e.g. 6 months]</w:t>
            </w:r>
          </w:p>
        </w:tc>
      </w:tr>
    </w:tbl>
    <w:p w14:paraId="4808B4BA" w14:textId="77777777" w:rsidR="00C05CFF" w:rsidRDefault="00C05CF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05CFF" w14:paraId="3E2F681B" w14:textId="77777777">
        <w:tc>
          <w:tcPr>
            <w:tcW w:w="468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10A2BF3" w14:textId="77777777" w:rsidR="00C05CFF" w:rsidRDefault="00000000">
            <w:pPr>
              <w:spacing w:line="28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BEFORE — The Situation</w:t>
            </w:r>
          </w:p>
        </w:tc>
        <w:tc>
          <w:tcPr>
            <w:tcW w:w="468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E44BDBA" w14:textId="77777777" w:rsidR="00C05CFF" w:rsidRDefault="00000000">
            <w:pPr>
              <w:spacing w:line="280" w:lineRule="auto"/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</w:rPr>
              <w:t>AFTER — The Result</w:t>
            </w:r>
          </w:p>
        </w:tc>
      </w:tr>
      <w:tr w:rsidR="00C05CFF" w14:paraId="5F446BA3" w14:textId="77777777">
        <w:tc>
          <w:tcPr>
            <w:tcW w:w="468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EF5F4"/>
            <w:tcMar>
              <w:top w:w="120" w:type="dxa"/>
              <w:left w:w="160" w:type="dxa"/>
              <w:bottom w:w="160" w:type="dxa"/>
              <w:right w:w="160" w:type="dxa"/>
            </w:tcMar>
          </w:tcPr>
          <w:p w14:paraId="3BB99DFD" w14:textId="77777777" w:rsidR="00C05CFF" w:rsidRDefault="00000000">
            <w:pPr>
              <w:spacing w:before="40" w:after="80" w:line="300" w:lineRule="auto"/>
            </w:pPr>
            <w:r>
              <w:rPr>
                <w:i/>
                <w:iCs/>
                <w:color w:val="666666"/>
                <w:sz w:val="20"/>
                <w:szCs w:val="20"/>
              </w:rPr>
              <w:t>Copy your Situation points from Section 1. Use bullet form.</w:t>
            </w:r>
          </w:p>
          <w:p w14:paraId="5AEEC601" w14:textId="77777777" w:rsidR="00C05CFF" w:rsidRDefault="00000000">
            <w:pPr>
              <w:pStyle w:val="ListParagraph"/>
              <w:numPr>
                <w:ilvl w:val="0"/>
                <w:numId w:val="2"/>
              </w:numPr>
              <w:spacing w:before="80" w:line="300" w:lineRule="auto"/>
            </w:pPr>
            <w:r>
              <w:rPr>
                <w:i/>
                <w:iCs/>
                <w:color w:val="CCCCCC"/>
                <w:sz w:val="20"/>
                <w:szCs w:val="20"/>
              </w:rPr>
              <w:t>[Before condition 1]</w:t>
            </w:r>
          </w:p>
          <w:p w14:paraId="152EFF10" w14:textId="77777777" w:rsidR="00C05CFF" w:rsidRDefault="00000000">
            <w:pPr>
              <w:pStyle w:val="ListParagraph"/>
              <w:numPr>
                <w:ilvl w:val="0"/>
                <w:numId w:val="2"/>
              </w:numPr>
              <w:spacing w:before="40" w:line="300" w:lineRule="auto"/>
            </w:pPr>
            <w:r>
              <w:rPr>
                <w:i/>
                <w:iCs/>
                <w:color w:val="CCCCCC"/>
                <w:sz w:val="20"/>
                <w:szCs w:val="20"/>
              </w:rPr>
              <w:t>[Before condition 2]</w:t>
            </w:r>
          </w:p>
          <w:p w14:paraId="46FBD577" w14:textId="77777777" w:rsidR="00C05CFF" w:rsidRDefault="00000000">
            <w:pPr>
              <w:pStyle w:val="ListParagraph"/>
              <w:numPr>
                <w:ilvl w:val="0"/>
                <w:numId w:val="2"/>
              </w:numPr>
              <w:spacing w:before="40" w:line="300" w:lineRule="auto"/>
            </w:pPr>
            <w:r>
              <w:rPr>
                <w:i/>
                <w:iCs/>
                <w:color w:val="CCCCCC"/>
                <w:sz w:val="20"/>
                <w:szCs w:val="20"/>
              </w:rPr>
              <w:t>[Before condition 3]</w:t>
            </w:r>
          </w:p>
          <w:p w14:paraId="4639091A" w14:textId="77777777" w:rsidR="00C05CFF" w:rsidRDefault="00000000">
            <w:pPr>
              <w:pStyle w:val="ListParagraph"/>
              <w:numPr>
                <w:ilvl w:val="0"/>
                <w:numId w:val="2"/>
              </w:numPr>
              <w:spacing w:before="40" w:line="300" w:lineRule="auto"/>
            </w:pPr>
            <w:r>
              <w:rPr>
                <w:i/>
                <w:iCs/>
                <w:color w:val="CCCCCC"/>
                <w:sz w:val="20"/>
                <w:szCs w:val="20"/>
              </w:rPr>
              <w:t>[Before condition 4]</w:t>
            </w:r>
          </w:p>
        </w:tc>
        <w:tc>
          <w:tcPr>
            <w:tcW w:w="468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2FBF6"/>
            <w:tcMar>
              <w:top w:w="120" w:type="dxa"/>
              <w:left w:w="160" w:type="dxa"/>
              <w:bottom w:w="160" w:type="dxa"/>
              <w:right w:w="160" w:type="dxa"/>
            </w:tcMar>
          </w:tcPr>
          <w:p w14:paraId="151F003E" w14:textId="77777777" w:rsidR="00C05CFF" w:rsidRDefault="00000000">
            <w:pPr>
              <w:spacing w:before="40" w:after="80" w:line="300" w:lineRule="auto"/>
            </w:pPr>
            <w:r>
              <w:rPr>
                <w:i/>
                <w:iCs/>
                <w:color w:val="666666"/>
                <w:sz w:val="20"/>
                <w:szCs w:val="20"/>
              </w:rPr>
              <w:t>Copy your Result points from Section 1. Lead with confirmed metrics.</w:t>
            </w:r>
          </w:p>
          <w:p w14:paraId="6158FD2C" w14:textId="77777777" w:rsidR="00C05CFF" w:rsidRDefault="00000000">
            <w:pPr>
              <w:pStyle w:val="ListParagraph"/>
              <w:numPr>
                <w:ilvl w:val="0"/>
                <w:numId w:val="2"/>
              </w:numPr>
              <w:spacing w:before="80" w:line="300" w:lineRule="auto"/>
            </w:pPr>
            <w:r>
              <w:rPr>
                <w:i/>
                <w:iCs/>
                <w:color w:val="CCCCCC"/>
                <w:sz w:val="20"/>
                <w:szCs w:val="20"/>
              </w:rPr>
              <w:t>[After result 1 — metric first]</w:t>
            </w:r>
          </w:p>
          <w:p w14:paraId="2DF57919" w14:textId="77777777" w:rsidR="00C05CFF" w:rsidRDefault="00000000">
            <w:pPr>
              <w:pStyle w:val="ListParagraph"/>
              <w:numPr>
                <w:ilvl w:val="0"/>
                <w:numId w:val="2"/>
              </w:numPr>
              <w:spacing w:before="40" w:line="300" w:lineRule="auto"/>
            </w:pPr>
            <w:r>
              <w:rPr>
                <w:i/>
                <w:iCs/>
                <w:color w:val="CCCCCC"/>
                <w:sz w:val="20"/>
                <w:szCs w:val="20"/>
              </w:rPr>
              <w:t>[After result 2]</w:t>
            </w:r>
          </w:p>
          <w:p w14:paraId="3D336E14" w14:textId="77777777" w:rsidR="00C05CFF" w:rsidRDefault="00000000">
            <w:pPr>
              <w:pStyle w:val="ListParagraph"/>
              <w:numPr>
                <w:ilvl w:val="0"/>
                <w:numId w:val="2"/>
              </w:numPr>
              <w:spacing w:before="40" w:line="300" w:lineRule="auto"/>
            </w:pPr>
            <w:r>
              <w:rPr>
                <w:i/>
                <w:iCs/>
                <w:color w:val="CCCCCC"/>
                <w:sz w:val="20"/>
                <w:szCs w:val="20"/>
              </w:rPr>
              <w:t>[After result 3]</w:t>
            </w:r>
          </w:p>
          <w:p w14:paraId="7912BF5E" w14:textId="77777777" w:rsidR="00C05CFF" w:rsidRDefault="00000000">
            <w:pPr>
              <w:pStyle w:val="ListParagraph"/>
              <w:numPr>
                <w:ilvl w:val="0"/>
                <w:numId w:val="2"/>
              </w:numPr>
              <w:spacing w:before="40" w:line="300" w:lineRule="auto"/>
            </w:pPr>
            <w:r>
              <w:rPr>
                <w:i/>
                <w:iCs/>
                <w:color w:val="CCCCCC"/>
                <w:sz w:val="20"/>
                <w:szCs w:val="20"/>
              </w:rPr>
              <w:t>[After result 4]</w:t>
            </w:r>
          </w:p>
        </w:tc>
      </w:tr>
    </w:tbl>
    <w:p w14:paraId="5EE23B08" w14:textId="77777777" w:rsidR="00C05CFF" w:rsidRDefault="00C05CFF">
      <w:pPr>
        <w:spacing w:before="160"/>
      </w:pPr>
    </w:p>
    <w:p w14:paraId="27FF948C" w14:textId="77777777" w:rsidR="00C05CFF" w:rsidRDefault="00000000">
      <w:pPr>
        <w:spacing w:before="200" w:after="80" w:line="280" w:lineRule="auto"/>
      </w:pPr>
      <w:r>
        <w:rPr>
          <w:rFonts w:ascii="Arial" w:eastAsia="Arial" w:hAnsi="Arial" w:cs="Arial"/>
          <w:b/>
          <w:bCs/>
          <w:color w:val="1B3A6B"/>
        </w:rPr>
        <w:t>What We Did — The Intervention Narrative</w:t>
      </w:r>
    </w:p>
    <w:p w14:paraId="12F29541" w14:textId="77777777" w:rsidR="00C05CFF" w:rsidRDefault="00000000">
      <w:pPr>
        <w:spacing w:before="40" w:after="80" w:line="300" w:lineRule="auto"/>
      </w:pPr>
      <w:r>
        <w:rPr>
          <w:i/>
          <w:iCs/>
          <w:color w:val="666666"/>
          <w:sz w:val="20"/>
          <w:szCs w:val="20"/>
        </w:rPr>
        <w:t>2–4 short paragraphs. Each paragraph = one major action. Use the Intervention field from Section 1 as your source material.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3C2A7145" w14:textId="77777777">
        <w:tc>
          <w:tcPr>
            <w:tcW w:w="9360" w:type="dxa"/>
            <w:tcBorders>
              <w:top w:val="single" w:sz="8" w:space="0" w:color="0D6E6E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AFCFF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F54A2A5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BBBBBB"/>
                <w:sz w:val="20"/>
                <w:szCs w:val="20"/>
              </w:rPr>
              <w:t>Paragraph 1: [What the PMO designed, built, or introduced — in active, specific language]</w:t>
            </w:r>
          </w:p>
          <w:p w14:paraId="6CF09172" w14:textId="77777777" w:rsidR="00C05CFF" w:rsidRDefault="00C05CFF">
            <w:pPr>
              <w:spacing w:before="60" w:line="320" w:lineRule="auto"/>
            </w:pPr>
          </w:p>
          <w:p w14:paraId="6408A5D8" w14:textId="77777777" w:rsidR="00C05CFF" w:rsidRDefault="00000000">
            <w:pPr>
              <w:spacing w:before="100" w:line="300" w:lineRule="auto"/>
            </w:pPr>
            <w:r>
              <w:rPr>
                <w:i/>
                <w:iCs/>
                <w:color w:val="BBBBBB"/>
                <w:sz w:val="20"/>
                <w:szCs w:val="20"/>
              </w:rPr>
              <w:t>Paragraph 2: [What the PMO designed, built, or introduced — in active, specific language]</w:t>
            </w:r>
          </w:p>
          <w:p w14:paraId="3ACF2ACF" w14:textId="77777777" w:rsidR="00C05CFF" w:rsidRDefault="00C05CFF">
            <w:pPr>
              <w:spacing w:before="60" w:line="320" w:lineRule="auto"/>
            </w:pPr>
          </w:p>
          <w:p w14:paraId="38AA0AC9" w14:textId="77777777" w:rsidR="00C05CFF" w:rsidRDefault="00000000">
            <w:pPr>
              <w:spacing w:before="100" w:line="300" w:lineRule="auto"/>
            </w:pPr>
            <w:r>
              <w:rPr>
                <w:i/>
                <w:iCs/>
                <w:color w:val="BBBBBB"/>
                <w:sz w:val="20"/>
                <w:szCs w:val="20"/>
              </w:rPr>
              <w:t>Paragraph 3: [What the PMO designed, built, or introduced — in active, specific language]</w:t>
            </w:r>
          </w:p>
          <w:p w14:paraId="6E6C94B6" w14:textId="77777777" w:rsidR="00C05CFF" w:rsidRDefault="00C05CFF">
            <w:pPr>
              <w:spacing w:before="60" w:line="320" w:lineRule="auto"/>
            </w:pPr>
          </w:p>
          <w:p w14:paraId="56920633" w14:textId="77777777" w:rsidR="00C05CFF" w:rsidRDefault="00000000">
            <w:pPr>
              <w:spacing w:before="100" w:line="300" w:lineRule="auto"/>
            </w:pPr>
            <w:r>
              <w:rPr>
                <w:i/>
                <w:iCs/>
                <w:color w:val="BBBBBB"/>
                <w:sz w:val="20"/>
                <w:szCs w:val="20"/>
              </w:rPr>
              <w:t>Paragraph 4: [What the PMO designed, built, or introduced — in active, specific language]</w:t>
            </w:r>
          </w:p>
          <w:p w14:paraId="3B04A493" w14:textId="77777777" w:rsidR="00C05CFF" w:rsidRDefault="00C05CFF">
            <w:pPr>
              <w:spacing w:before="60" w:line="320" w:lineRule="auto"/>
            </w:pPr>
          </w:p>
        </w:tc>
      </w:tr>
    </w:tbl>
    <w:p w14:paraId="4348440D" w14:textId="77777777" w:rsidR="00C05CFF" w:rsidRDefault="00C05CFF">
      <w:pPr>
        <w:spacing w:before="160"/>
      </w:pPr>
    </w:p>
    <w:p w14:paraId="46677459" w14:textId="77777777" w:rsidR="00C05CFF" w:rsidRDefault="00000000">
      <w:pPr>
        <w:spacing w:before="200" w:after="80" w:line="280" w:lineRule="auto"/>
      </w:pPr>
      <w:r>
        <w:rPr>
          <w:rFonts w:ascii="Arial" w:eastAsia="Arial" w:hAnsi="Arial" w:cs="Arial"/>
          <w:b/>
          <w:bCs/>
          <w:color w:val="1B3A6B"/>
        </w:rPr>
        <w:t>Strategic Impact Statement</w:t>
      </w:r>
    </w:p>
    <w:p w14:paraId="09E75B11" w14:textId="77777777" w:rsidR="00C05CFF" w:rsidRDefault="00000000">
      <w:pPr>
        <w:spacing w:before="40" w:after="80" w:line="300" w:lineRule="auto"/>
      </w:pPr>
      <w:r>
        <w:rPr>
          <w:i/>
          <w:iCs/>
          <w:color w:val="666666"/>
          <w:sz w:val="20"/>
          <w:szCs w:val="20"/>
        </w:rPr>
        <w:t>One paragraph (3–5 sentences). This is your closing argument — what changed permanently for the organisation, not just for the reporting cycle.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1E1F0EC1" w14:textId="77777777">
        <w:tc>
          <w:tcPr>
            <w:tcW w:w="9360" w:type="dxa"/>
            <w:tcBorders>
              <w:top w:val="single" w:sz="8" w:space="0" w:color="C9A84C"/>
              <w:left w:val="single" w:sz="6" w:space="0" w:color="C9A84C"/>
              <w:bottom w:val="single" w:sz="1" w:space="0" w:color="C5D2E0"/>
              <w:right w:val="single" w:sz="1" w:space="0" w:color="C5D2E0"/>
            </w:tcBorders>
            <w:shd w:val="clear" w:color="auto" w:fill="FDF8E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0B9D61C3" w14:textId="77777777" w:rsidR="00C05CFF" w:rsidRDefault="00000000">
            <w:pPr>
              <w:spacing w:after="60" w:line="280" w:lineRule="auto"/>
            </w:pPr>
            <w:r>
              <w:rPr>
                <w:rFonts w:ascii="Arial" w:eastAsia="Arial" w:hAnsi="Arial" w:cs="Arial"/>
                <w:b/>
                <w:bCs/>
                <w:color w:val="C9A84C"/>
                <w:spacing w:val="40"/>
                <w:sz w:val="18"/>
                <w:szCs w:val="18"/>
              </w:rPr>
              <w:t>STRATEGIC IMPACT</w:t>
            </w:r>
          </w:p>
          <w:p w14:paraId="2FBC2D5D" w14:textId="77777777" w:rsidR="00C05CFF" w:rsidRDefault="00000000">
            <w:pPr>
              <w:spacing w:line="320" w:lineRule="auto"/>
            </w:pPr>
            <w:r>
              <w:rPr>
                <w:i/>
                <w:iCs/>
                <w:color w:val="BBBBBB"/>
                <w:sz w:val="21"/>
                <w:szCs w:val="21"/>
              </w:rPr>
              <w:t>[What changed permanently for the organisation. What the PMO now means to the executive that it did not mean before. One paragraph, active voice, no jargon.]</w:t>
            </w:r>
          </w:p>
          <w:p w14:paraId="6125131D" w14:textId="77777777" w:rsidR="00C05CFF" w:rsidRDefault="00C05CFF">
            <w:pPr>
              <w:spacing w:before="60" w:line="320" w:lineRule="auto"/>
            </w:pPr>
          </w:p>
          <w:p w14:paraId="665B2091" w14:textId="77777777" w:rsidR="00C05CFF" w:rsidRDefault="00C05CFF">
            <w:pPr>
              <w:spacing w:before="60" w:line="320" w:lineRule="auto"/>
            </w:pPr>
          </w:p>
          <w:p w14:paraId="50FD3D21" w14:textId="77777777" w:rsidR="00C05CFF" w:rsidRDefault="00C05CFF">
            <w:pPr>
              <w:spacing w:before="60" w:line="320" w:lineRule="auto"/>
            </w:pPr>
          </w:p>
        </w:tc>
      </w:tr>
    </w:tbl>
    <w:p w14:paraId="2885CDF1" w14:textId="77777777" w:rsidR="00C05CFF" w:rsidRDefault="00C05CF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05CFF" w14:paraId="3FF4E664" w14:textId="77777777">
        <w:tc>
          <w:tcPr>
            <w:tcW w:w="468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03A697F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0D6E6E"/>
                <w:sz w:val="19"/>
                <w:szCs w:val="19"/>
              </w:rPr>
              <w:t>PMO-MVM™ Dimensions Applied</w:t>
            </w:r>
          </w:p>
          <w:p w14:paraId="4BEE09E6" w14:textId="77777777" w:rsidR="00C05CFF" w:rsidRDefault="00000000">
            <w:pPr>
              <w:spacing w:before="40" w:line="280" w:lineRule="auto"/>
            </w:pPr>
            <w:r>
              <w:rPr>
                <w:i/>
                <w:iCs/>
                <w:color w:val="666666"/>
                <w:sz w:val="19"/>
                <w:szCs w:val="19"/>
              </w:rPr>
              <w:t>[Tick all that apply: Strategic Alignment · Delivery Confidence · Portfolio Visibility · Stakeholder Trust · Execution Velocity]</w:t>
            </w:r>
          </w:p>
        </w:tc>
        <w:tc>
          <w:tcPr>
            <w:tcW w:w="468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5FE9174" w14:textId="77777777" w:rsidR="00C05CFF" w:rsidRDefault="00000000">
            <w:r>
              <w:rPr>
                <w:rFonts w:ascii="Arial" w:eastAsia="Arial" w:hAnsi="Arial" w:cs="Arial"/>
                <w:b/>
                <w:bCs/>
                <w:color w:val="0D6E6E"/>
                <w:sz w:val="19"/>
                <w:szCs w:val="19"/>
              </w:rPr>
              <w:t>Permission Status</w:t>
            </w:r>
          </w:p>
          <w:p w14:paraId="121EBAE7" w14:textId="77777777" w:rsidR="00C05CFF" w:rsidRDefault="00000000">
            <w:pPr>
              <w:spacing w:before="40" w:line="280" w:lineRule="auto"/>
            </w:pPr>
            <w:r>
              <w:rPr>
                <w:i/>
                <w:iCs/>
                <w:color w:val="666666"/>
                <w:sz w:val="19"/>
                <w:szCs w:val="19"/>
              </w:rPr>
              <w:t>Full use (named) · Anonymised only · Internal only · Pending</w:t>
            </w:r>
          </w:p>
        </w:tc>
      </w:tr>
    </w:tbl>
    <w:p w14:paraId="31376631" w14:textId="77777777" w:rsidR="00C05CFF" w:rsidRDefault="00C05CFF">
      <w:pPr>
        <w:pageBreakBefore/>
      </w:pPr>
    </w:p>
    <w:p w14:paraId="355833CD" w14:textId="77777777" w:rsidR="00C05CFF" w:rsidRDefault="00000000">
      <w:pPr>
        <w:spacing w:after="60"/>
      </w:pPr>
      <w:r>
        <w:rPr>
          <w:rFonts w:ascii="Arial" w:eastAsia="Arial" w:hAnsi="Arial" w:cs="Arial"/>
          <w:b/>
          <w:bCs/>
          <w:color w:val="C9A84C"/>
          <w:spacing w:val="80"/>
          <w:sz w:val="19"/>
          <w:szCs w:val="19"/>
        </w:rPr>
        <w:t>SECTION 5</w:t>
      </w:r>
    </w:p>
    <w:p w14:paraId="13C81CB0" w14:textId="77777777" w:rsidR="00C05CFF" w:rsidRDefault="00000000">
      <w:pPr>
        <w:spacing w:before="60" w:after="80" w:line="300" w:lineRule="auto"/>
      </w:pPr>
      <w:r>
        <w:rPr>
          <w:rFonts w:ascii="Arial" w:eastAsia="Arial" w:hAnsi="Arial" w:cs="Arial"/>
          <w:b/>
          <w:bCs/>
          <w:color w:val="1B3A6B"/>
          <w:sz w:val="36"/>
          <w:szCs w:val="36"/>
        </w:rPr>
        <w:t>Quick Wins &amp; Proof Points Log</w:t>
      </w:r>
    </w:p>
    <w:p w14:paraId="7F013DE9" w14:textId="77777777" w:rsidR="00C05CFF" w:rsidRDefault="00000000">
      <w:pPr>
        <w:spacing w:after="240" w:line="300" w:lineRule="auto"/>
      </w:pPr>
      <w:r>
        <w:rPr>
          <w:i/>
          <w:iCs/>
          <w:color w:val="0D6E6E"/>
        </w:rPr>
        <w:t>Single-sentence evidence captured in real time</w:t>
      </w:r>
    </w:p>
    <w:p w14:paraId="6DB119C4" w14:textId="77777777" w:rsidR="00C05CFF" w:rsidRDefault="00C05CFF">
      <w:pPr>
        <w:pBdr>
          <w:bottom w:val="single" w:sz="6" w:space="1" w:color="C9A84C"/>
        </w:pBdr>
        <w:spacing w:before="100" w:after="100"/>
      </w:pPr>
    </w:p>
    <w:p w14:paraId="3E365370" w14:textId="77777777" w:rsidR="00C05CFF" w:rsidRDefault="00C05CFF">
      <w:pPr>
        <w:spacing w:before="160"/>
      </w:pPr>
    </w:p>
    <w:p w14:paraId="452BC46E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>Not every PMO win warrants a full case study. But every PMO win warrants a record. The Quick Wins Log is a running register of single-sentence proof points — specific, quantified, sourced — that accumulate over time into a credibility file that no budget review can easily dismiss.</w:t>
      </w:r>
    </w:p>
    <w:p w14:paraId="3B1B9A82" w14:textId="77777777" w:rsidR="00C05CFF" w:rsidRDefault="00000000">
      <w:pPr>
        <w:spacing w:before="40" w:after="120" w:line="320" w:lineRule="auto"/>
        <w:jc w:val="both"/>
      </w:pPr>
      <w:r>
        <w:rPr>
          <w:color w:val="333333"/>
          <w:sz w:val="21"/>
          <w:szCs w:val="21"/>
        </w:rPr>
        <w:t>The standard: each entry is one sentence. It contains a before condition (or a baseline), a PMO action, a measurable result, and a source. If it cannot be written in one sentence with a number, it is not yet ready for this log.</w:t>
      </w:r>
    </w:p>
    <w:p w14:paraId="2D03524E" w14:textId="77777777" w:rsidR="00C05CFF" w:rsidRDefault="00C05CFF">
      <w:pPr>
        <w:spacing w:before="8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C05CFF" w14:paraId="147CE56D" w14:textId="77777777">
        <w:tc>
          <w:tcPr>
            <w:tcW w:w="9360" w:type="dxa"/>
            <w:tcBorders>
              <w:top w:val="single" w:sz="8" w:space="0" w:color="C9A84C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DF8E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73795572" w14:textId="77777777" w:rsidR="00C05CFF" w:rsidRDefault="00000000">
            <w:pPr>
              <w:spacing w:after="60"/>
            </w:pPr>
            <w:r>
              <w:rPr>
                <w:rFonts w:ascii="Arial" w:eastAsia="Arial" w:hAnsi="Arial" w:cs="Arial"/>
                <w:b/>
                <w:bCs/>
                <w:color w:val="C9A84C"/>
                <w:spacing w:val="40"/>
                <w:sz w:val="19"/>
                <w:szCs w:val="19"/>
              </w:rPr>
              <w:t>TARGET</w:t>
            </w:r>
          </w:p>
          <w:p w14:paraId="10CFF1D3" w14:textId="77777777" w:rsidR="00C05CFF" w:rsidRDefault="00000000">
            <w:pPr>
              <w:spacing w:line="300" w:lineRule="auto"/>
              <w:jc w:val="both"/>
            </w:pPr>
            <w:r>
              <w:rPr>
                <w:color w:val="333333"/>
                <w:sz w:val="21"/>
                <w:szCs w:val="21"/>
              </w:rPr>
              <w:t>Build to a minimum of 10 valid entries before using this log in any external proposal or executive briefing. The three Chapter 9 case studies began as entries in a log exactly like this one.</w:t>
            </w:r>
          </w:p>
        </w:tc>
      </w:tr>
    </w:tbl>
    <w:p w14:paraId="167A3BCD" w14:textId="77777777" w:rsidR="00C05CFF" w:rsidRDefault="00C05CFF">
      <w:pPr>
        <w:spacing w:before="1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3840"/>
        <w:gridCol w:w="2160"/>
        <w:gridCol w:w="1440"/>
        <w:gridCol w:w="1200"/>
      </w:tblGrid>
      <w:tr w:rsidR="00C05CFF" w14:paraId="0BAE67A8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A54D999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Ref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2CB047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Proof Point (one sentence, specific and quantified)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736AA2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PMO-MVM™ Dimension</w:t>
            </w:r>
          </w:p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CEB6B2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Date Confirmed</w:t>
            </w:r>
          </w:p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1B3A6B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43AF71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FFFFFF"/>
                <w:sz w:val="18"/>
                <w:szCs w:val="18"/>
              </w:rPr>
              <w:t>Permission</w:t>
            </w:r>
          </w:p>
        </w:tc>
      </w:tr>
      <w:tr w:rsidR="00C05CFF" w14:paraId="63B119C2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B5732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18"/>
                <w:szCs w:val="18"/>
              </w:rPr>
              <w:t>QW-001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DCF7B9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19"/>
                <w:szCs w:val="19"/>
              </w:rPr>
              <w:t>PMO dashboard eliminated 15 hrs of manual executive reporting per week — replacing 4 separate PowerPoint updates with a single self-service view. [Source: IT time-tracking, March 2025]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1856E3" w14:textId="77777777" w:rsidR="00C05CFF" w:rsidRDefault="00000000">
            <w:r>
              <w:rPr>
                <w:color w:val="0D6E6E"/>
                <w:sz w:val="19"/>
                <w:szCs w:val="19"/>
              </w:rPr>
              <w:t>Portfolio Visibility</w:t>
            </w:r>
          </w:p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A24C6" w14:textId="77777777" w:rsidR="00C05CFF" w:rsidRDefault="00C05CFF"/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F17F64" w14:textId="77777777" w:rsidR="00C05CFF" w:rsidRDefault="00C05CFF"/>
        </w:tc>
      </w:tr>
      <w:tr w:rsidR="00C05CFF" w14:paraId="1EF45673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362030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18"/>
                <w:szCs w:val="18"/>
              </w:rPr>
              <w:t>QW-002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37D9CD0" w14:textId="77777777" w:rsidR="00C05CFF" w:rsidRDefault="00000000">
            <w:pPr>
              <w:spacing w:line="300" w:lineRule="auto"/>
            </w:pPr>
            <w:r>
              <w:rPr>
                <w:color w:val="333333"/>
                <w:sz w:val="19"/>
                <w:szCs w:val="19"/>
              </w:rPr>
              <w:t>Portfolio SPI improved from 0.76 to 0.93 within the first 90 days of PMO-MVM™ implementation. [Source: PMO Scorecard, Q1 2025]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4F5CD6C" w14:textId="77777777" w:rsidR="00C05CFF" w:rsidRDefault="00000000">
            <w:r>
              <w:rPr>
                <w:color w:val="0D6E6E"/>
                <w:sz w:val="19"/>
                <w:szCs w:val="19"/>
              </w:rPr>
              <w:t>Delivery Confidence</w:t>
            </w:r>
          </w:p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69DB9" w14:textId="77777777" w:rsidR="00C05CFF" w:rsidRDefault="00C05CFF"/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D94DA" w14:textId="77777777" w:rsidR="00C05CFF" w:rsidRDefault="00C05CFF"/>
        </w:tc>
      </w:tr>
      <w:tr w:rsidR="00C05CFF" w14:paraId="6B015B95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538F2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18"/>
                <w:szCs w:val="18"/>
              </w:rPr>
              <w:t>QW-003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86541C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666666"/>
                <w:sz w:val="19"/>
                <w:szCs w:val="19"/>
              </w:rPr>
              <w:t>[Enter your proof point]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35598DB" w14:textId="77777777" w:rsidR="00C05CFF" w:rsidRDefault="00C05CFF"/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D5C580" w14:textId="77777777" w:rsidR="00C05CFF" w:rsidRDefault="00C05CFF"/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6A555" w14:textId="77777777" w:rsidR="00C05CFF" w:rsidRDefault="00C05CFF"/>
        </w:tc>
      </w:tr>
      <w:tr w:rsidR="00C05CFF" w14:paraId="57B9859B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35BB1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18"/>
                <w:szCs w:val="18"/>
              </w:rPr>
              <w:t>QW-004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8152D2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666666"/>
                <w:sz w:val="19"/>
                <w:szCs w:val="19"/>
              </w:rPr>
              <w:t>[Enter your proof point]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52FAA4" w14:textId="77777777" w:rsidR="00C05CFF" w:rsidRDefault="00C05CFF"/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60978" w14:textId="77777777" w:rsidR="00C05CFF" w:rsidRDefault="00C05CFF"/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61AA8" w14:textId="77777777" w:rsidR="00C05CFF" w:rsidRDefault="00C05CFF"/>
        </w:tc>
      </w:tr>
      <w:tr w:rsidR="00C05CFF" w14:paraId="319EDF9F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77EC7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18"/>
                <w:szCs w:val="18"/>
              </w:rPr>
              <w:t>QW-005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D7483F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666666"/>
                <w:sz w:val="19"/>
                <w:szCs w:val="19"/>
              </w:rPr>
              <w:t>[Enter your proof point]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5FB7C52" w14:textId="77777777" w:rsidR="00C05CFF" w:rsidRDefault="00C05CFF"/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DD21B1" w14:textId="77777777" w:rsidR="00C05CFF" w:rsidRDefault="00C05CFF"/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625D37" w14:textId="77777777" w:rsidR="00C05CFF" w:rsidRDefault="00C05CFF"/>
        </w:tc>
      </w:tr>
      <w:tr w:rsidR="00C05CFF" w14:paraId="0ECF9A49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5AC08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18"/>
                <w:szCs w:val="18"/>
              </w:rPr>
              <w:t>QW-006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D57D82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666666"/>
                <w:sz w:val="19"/>
                <w:szCs w:val="19"/>
              </w:rPr>
              <w:t>[Enter your proof point]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3CAC75" w14:textId="77777777" w:rsidR="00C05CFF" w:rsidRDefault="00C05CFF"/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0E23D" w14:textId="77777777" w:rsidR="00C05CFF" w:rsidRDefault="00C05CFF"/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420EB" w14:textId="77777777" w:rsidR="00C05CFF" w:rsidRDefault="00C05CFF"/>
        </w:tc>
      </w:tr>
      <w:tr w:rsidR="00C05CFF" w14:paraId="58578741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E9DDD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18"/>
                <w:szCs w:val="18"/>
              </w:rPr>
              <w:t>QW-007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1DAFBBB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666666"/>
                <w:sz w:val="19"/>
                <w:szCs w:val="19"/>
              </w:rPr>
              <w:t>[Enter your proof point]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8F8039D" w14:textId="77777777" w:rsidR="00C05CFF" w:rsidRDefault="00C05CFF"/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F46DF" w14:textId="77777777" w:rsidR="00C05CFF" w:rsidRDefault="00C05CFF"/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EB2A0" w14:textId="77777777" w:rsidR="00C05CFF" w:rsidRDefault="00C05CFF"/>
        </w:tc>
      </w:tr>
      <w:tr w:rsidR="00C05CFF" w14:paraId="498990D1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CAE5E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18"/>
                <w:szCs w:val="18"/>
              </w:rPr>
              <w:t>QW-008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EA1941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666666"/>
                <w:sz w:val="19"/>
                <w:szCs w:val="19"/>
              </w:rPr>
              <w:t>[Enter your proof point]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9D78291" w14:textId="77777777" w:rsidR="00C05CFF" w:rsidRDefault="00C05CFF"/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8D81D" w14:textId="77777777" w:rsidR="00C05CFF" w:rsidRDefault="00C05CFF"/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77613" w14:textId="77777777" w:rsidR="00C05CFF" w:rsidRDefault="00C05CFF"/>
        </w:tc>
      </w:tr>
      <w:tr w:rsidR="00C05CFF" w14:paraId="35A74AF5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57A91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18"/>
                <w:szCs w:val="18"/>
              </w:rPr>
              <w:t>QW-009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BBE1F2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666666"/>
                <w:sz w:val="19"/>
                <w:szCs w:val="19"/>
              </w:rPr>
              <w:t>[Enter your proof point]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6D7CF83" w14:textId="77777777" w:rsidR="00C05CFF" w:rsidRDefault="00C05CFF"/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40C32F" w14:textId="77777777" w:rsidR="00C05CFF" w:rsidRDefault="00C05CFF"/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EEF3F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8CBFCF" w14:textId="77777777" w:rsidR="00C05CFF" w:rsidRDefault="00C05CFF"/>
        </w:tc>
      </w:tr>
      <w:tr w:rsidR="00C05CFF" w14:paraId="4CADAD58" w14:textId="77777777">
        <w:tc>
          <w:tcPr>
            <w:tcW w:w="72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35BEA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D6E6E"/>
                <w:sz w:val="18"/>
                <w:szCs w:val="18"/>
              </w:rPr>
              <w:t>QW-010</w:t>
            </w:r>
          </w:p>
        </w:tc>
        <w:tc>
          <w:tcPr>
            <w:tcW w:w="38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1A01B7" w14:textId="77777777" w:rsidR="00C05CFF" w:rsidRDefault="00000000">
            <w:pPr>
              <w:spacing w:line="300" w:lineRule="auto"/>
            </w:pPr>
            <w:r>
              <w:rPr>
                <w:i/>
                <w:iCs/>
                <w:color w:val="666666"/>
                <w:sz w:val="19"/>
                <w:szCs w:val="19"/>
              </w:rPr>
              <w:t>[Enter your proof point]</w:t>
            </w:r>
          </w:p>
        </w:tc>
        <w:tc>
          <w:tcPr>
            <w:tcW w:w="216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CC09DEC" w14:textId="77777777" w:rsidR="00C05CFF" w:rsidRDefault="00C05CFF"/>
        </w:tc>
        <w:tc>
          <w:tcPr>
            <w:tcW w:w="144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75BC7" w14:textId="77777777" w:rsidR="00C05CFF" w:rsidRDefault="00C05CFF"/>
        </w:tc>
        <w:tc>
          <w:tcPr>
            <w:tcW w:w="1200" w:type="dxa"/>
            <w:tcBorders>
              <w:top w:val="single" w:sz="1" w:space="0" w:color="C5D2E0"/>
              <w:left w:val="single" w:sz="1" w:space="0" w:color="C5D2E0"/>
              <w:bottom w:val="single" w:sz="1" w:space="0" w:color="C5D2E0"/>
              <w:right w:val="single" w:sz="1" w:space="0" w:color="C5D2E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88A47" w14:textId="77777777" w:rsidR="00C05CFF" w:rsidRDefault="00C05CFF"/>
        </w:tc>
      </w:tr>
    </w:tbl>
    <w:p w14:paraId="3DDFE402" w14:textId="77777777" w:rsidR="00C05CFF" w:rsidRDefault="00C05CFF">
      <w:pPr>
        <w:spacing w:before="200"/>
      </w:pPr>
    </w:p>
    <w:p w14:paraId="513AEECD" w14:textId="77777777" w:rsidR="00C05CFF" w:rsidRDefault="00C05CFF">
      <w:pPr>
        <w:pBdr>
          <w:bottom w:val="single" w:sz="8" w:space="1" w:color="C9A84C"/>
        </w:pBdr>
        <w:spacing w:before="100" w:after="100"/>
      </w:pPr>
    </w:p>
    <w:p w14:paraId="5CE812A6" w14:textId="77777777" w:rsidR="00C05CFF" w:rsidRDefault="00C05CFF">
      <w:pPr>
        <w:spacing w:before="160"/>
      </w:pPr>
    </w:p>
    <w:p w14:paraId="4E2064E3" w14:textId="77777777" w:rsidR="00C05CFF" w:rsidRDefault="00000000">
      <w:pPr>
        <w:spacing w:after="60" w:line="280" w:lineRule="auto"/>
        <w:jc w:val="center"/>
      </w:pPr>
      <w:r>
        <w:rPr>
          <w:rFonts w:ascii="Arial" w:eastAsia="Arial" w:hAnsi="Arial" w:cs="Arial"/>
          <w:b/>
          <w:bCs/>
          <w:color w:val="1B3A6B"/>
          <w:spacing w:val="60"/>
          <w:sz w:val="20"/>
          <w:szCs w:val="20"/>
        </w:rPr>
        <w:t>FROM COST CENTRE TO VALUE ENGINE</w:t>
      </w:r>
    </w:p>
    <w:p w14:paraId="4BCB3899" w14:textId="77777777" w:rsidR="00C05CFF" w:rsidRDefault="00000000">
      <w:pPr>
        <w:spacing w:after="60" w:line="280" w:lineRule="auto"/>
        <w:jc w:val="center"/>
      </w:pPr>
      <w:r>
        <w:rPr>
          <w:i/>
          <w:iCs/>
          <w:color w:val="0D6E6E"/>
          <w:sz w:val="20"/>
          <w:szCs w:val="20"/>
        </w:rPr>
        <w:t>Chapter 9 Action Tool  ·  PMO Value Evidence Log™</w:t>
      </w:r>
    </w:p>
    <w:p w14:paraId="4E472125" w14:textId="77777777" w:rsidR="00C05CFF" w:rsidRDefault="00000000">
      <w:pPr>
        <w:spacing w:after="160" w:line="280" w:lineRule="auto"/>
        <w:jc w:val="center"/>
      </w:pPr>
      <w:r>
        <w:rPr>
          <w:rFonts w:ascii="Arial" w:eastAsia="Arial" w:hAnsi="Arial" w:cs="Arial"/>
          <w:color w:val="666666"/>
          <w:sz w:val="18"/>
          <w:szCs w:val="18"/>
        </w:rPr>
        <w:t>PMO-MVM™ Five Dimensions: Strategic Alignment  ·  Delivery Confidence  ·  Portfolio Visibility  ·  Stakeholder Trust  ·  Execution Velocity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C05CFF" w14:paraId="78E0B57F" w14:textId="77777777"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9CF60EF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B3A6B"/>
                <w:sz w:val="19"/>
                <w:szCs w:val="19"/>
              </w:rPr>
              <w:t>RUN PMO Consulting™</w:t>
            </w:r>
          </w:p>
          <w:p w14:paraId="43C67828" w14:textId="77777777" w:rsidR="00C05CFF" w:rsidRDefault="00000000">
            <w:pPr>
              <w:jc w:val="center"/>
            </w:pPr>
            <w:r>
              <w:rPr>
                <w:i/>
                <w:iCs/>
                <w:color w:val="666666"/>
                <w:sz w:val="19"/>
                <w:szCs w:val="19"/>
              </w:rPr>
              <w:t>Abu Dhabi, UAE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FFC6D60" w14:textId="360C9B38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B3A6B"/>
                <w:sz w:val="19"/>
                <w:szCs w:val="19"/>
              </w:rPr>
              <w:t>runpmo</w:t>
            </w:r>
            <w:r w:rsidR="00B74B2F">
              <w:rPr>
                <w:rFonts w:ascii="Arial" w:eastAsia="Arial" w:hAnsi="Arial" w:cs="Arial"/>
                <w:b/>
                <w:bCs/>
                <w:color w:val="1B3A6B"/>
                <w:sz w:val="19"/>
                <w:szCs w:val="19"/>
              </w:rPr>
              <w:t>c</w:t>
            </w:r>
            <w:r w:rsidR="00E53F49">
              <w:rPr>
                <w:rFonts w:ascii="Arial" w:eastAsia="Arial" w:hAnsi="Arial" w:cs="Arial"/>
                <w:b/>
                <w:bCs/>
                <w:color w:val="1B3A6B"/>
                <w:sz w:val="19"/>
                <w:szCs w:val="19"/>
              </w:rPr>
              <w:t>on</w:t>
            </w:r>
            <w:r w:rsidR="00B74B2F">
              <w:rPr>
                <w:rFonts w:ascii="Arial" w:eastAsia="Arial" w:hAnsi="Arial" w:cs="Arial"/>
                <w:b/>
                <w:bCs/>
                <w:color w:val="1B3A6B"/>
                <w:sz w:val="19"/>
                <w:szCs w:val="19"/>
              </w:rPr>
              <w:t>sulting</w:t>
            </w:r>
            <w:r>
              <w:rPr>
                <w:rFonts w:ascii="Arial" w:eastAsia="Arial" w:hAnsi="Arial" w:cs="Arial"/>
                <w:b/>
                <w:bCs/>
                <w:color w:val="1B3A6B"/>
                <w:sz w:val="19"/>
                <w:szCs w:val="19"/>
              </w:rPr>
              <w:t>.com</w:t>
            </w:r>
          </w:p>
          <w:p w14:paraId="01FCC35C" w14:textId="77777777" w:rsidR="00C05CFF" w:rsidRDefault="00000000">
            <w:pPr>
              <w:jc w:val="center"/>
            </w:pPr>
            <w:r>
              <w:rPr>
                <w:i/>
                <w:iCs/>
                <w:color w:val="666666"/>
                <w:sz w:val="19"/>
                <w:szCs w:val="19"/>
              </w:rPr>
              <w:t>Ahmed Jadelrab</w:t>
            </w:r>
          </w:p>
        </w:tc>
        <w:tc>
          <w:tcPr>
            <w:tcW w:w="312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DF5ED6" w14:textId="77777777" w:rsidR="00C05CFF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1B3A6B"/>
                <w:sz w:val="19"/>
                <w:szCs w:val="19"/>
              </w:rPr>
              <w:t>Creator of PMO-MVM™</w:t>
            </w:r>
          </w:p>
          <w:p w14:paraId="0C461D5A" w14:textId="77777777" w:rsidR="00C05CFF" w:rsidRDefault="00000000">
            <w:pPr>
              <w:jc w:val="center"/>
            </w:pPr>
            <w:r>
              <w:rPr>
                <w:i/>
                <w:iCs/>
                <w:color w:val="666666"/>
                <w:sz w:val="19"/>
                <w:szCs w:val="19"/>
              </w:rPr>
              <w:t>Founder &amp; CEO</w:t>
            </w:r>
          </w:p>
        </w:tc>
      </w:tr>
    </w:tbl>
    <w:p w14:paraId="5F9FC4FE" w14:textId="77777777" w:rsidR="00C05CFF" w:rsidRDefault="00C05CFF">
      <w:pPr>
        <w:spacing w:before="80"/>
      </w:pPr>
    </w:p>
    <w:p w14:paraId="0F5527DB" w14:textId="77777777" w:rsidR="00C05CFF" w:rsidRDefault="00000000">
      <w:pPr>
        <w:jc w:val="center"/>
      </w:pPr>
      <w:r>
        <w:rPr>
          <w:rFonts w:ascii="Arial" w:eastAsia="Arial" w:hAnsi="Arial" w:cs="Arial"/>
          <w:color w:val="666666"/>
          <w:sz w:val="17"/>
          <w:szCs w:val="17"/>
        </w:rPr>
        <w:t>© RUN PMO Consulting™. All rights reserved. No part of this tool may be reproduced without written permission.</w:t>
      </w:r>
    </w:p>
    <w:sectPr w:rsidR="00C05CFF">
      <w:pgSz w:w="12240" w:h="15840"/>
      <w:pgMar w:top="1260" w:right="1260" w:bottom="126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532B7"/>
    <w:multiLevelType w:val="hybridMultilevel"/>
    <w:tmpl w:val="AB2C2E2E"/>
    <w:lvl w:ilvl="0" w:tplc="1F627876">
      <w:start w:val="1"/>
      <w:numFmt w:val="bullet"/>
      <w:lvlText w:val="●"/>
      <w:lvlJc w:val="left"/>
      <w:pPr>
        <w:ind w:left="720" w:hanging="360"/>
      </w:pPr>
    </w:lvl>
    <w:lvl w:ilvl="1" w:tplc="D204A0D6">
      <w:start w:val="1"/>
      <w:numFmt w:val="bullet"/>
      <w:lvlText w:val="○"/>
      <w:lvlJc w:val="left"/>
      <w:pPr>
        <w:ind w:left="1440" w:hanging="360"/>
      </w:pPr>
    </w:lvl>
    <w:lvl w:ilvl="2" w:tplc="A21CB2D4">
      <w:start w:val="1"/>
      <w:numFmt w:val="bullet"/>
      <w:lvlText w:val="■"/>
      <w:lvlJc w:val="left"/>
      <w:pPr>
        <w:ind w:left="2160" w:hanging="360"/>
      </w:pPr>
    </w:lvl>
    <w:lvl w:ilvl="3" w:tplc="DD54706E">
      <w:start w:val="1"/>
      <w:numFmt w:val="bullet"/>
      <w:lvlText w:val="●"/>
      <w:lvlJc w:val="left"/>
      <w:pPr>
        <w:ind w:left="2880" w:hanging="360"/>
      </w:pPr>
    </w:lvl>
    <w:lvl w:ilvl="4" w:tplc="A7C492D0">
      <w:start w:val="1"/>
      <w:numFmt w:val="bullet"/>
      <w:lvlText w:val="○"/>
      <w:lvlJc w:val="left"/>
      <w:pPr>
        <w:ind w:left="3600" w:hanging="360"/>
      </w:pPr>
    </w:lvl>
    <w:lvl w:ilvl="5" w:tplc="B2BE9E58">
      <w:start w:val="1"/>
      <w:numFmt w:val="bullet"/>
      <w:lvlText w:val="■"/>
      <w:lvlJc w:val="left"/>
      <w:pPr>
        <w:ind w:left="4320" w:hanging="360"/>
      </w:pPr>
    </w:lvl>
    <w:lvl w:ilvl="6" w:tplc="2826C422">
      <w:start w:val="1"/>
      <w:numFmt w:val="bullet"/>
      <w:lvlText w:val="●"/>
      <w:lvlJc w:val="left"/>
      <w:pPr>
        <w:ind w:left="5040" w:hanging="360"/>
      </w:pPr>
    </w:lvl>
    <w:lvl w:ilvl="7" w:tplc="D9B21D02">
      <w:start w:val="1"/>
      <w:numFmt w:val="bullet"/>
      <w:lvlText w:val="●"/>
      <w:lvlJc w:val="left"/>
      <w:pPr>
        <w:ind w:left="5760" w:hanging="360"/>
      </w:pPr>
    </w:lvl>
    <w:lvl w:ilvl="8" w:tplc="508808D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096522F"/>
    <w:multiLevelType w:val="hybridMultilevel"/>
    <w:tmpl w:val="5874D228"/>
    <w:lvl w:ilvl="0" w:tplc="0248F7EC">
      <w:start w:val="1"/>
      <w:numFmt w:val="bullet"/>
      <w:lvlText w:val="•"/>
      <w:lvlJc w:val="left"/>
      <w:pPr>
        <w:ind w:left="720" w:hanging="360"/>
      </w:pPr>
    </w:lvl>
    <w:lvl w:ilvl="1" w:tplc="99E8CA4C">
      <w:numFmt w:val="decimal"/>
      <w:lvlText w:val=""/>
      <w:lvlJc w:val="left"/>
    </w:lvl>
    <w:lvl w:ilvl="2" w:tplc="6E5066DA">
      <w:numFmt w:val="decimal"/>
      <w:lvlText w:val=""/>
      <w:lvlJc w:val="left"/>
    </w:lvl>
    <w:lvl w:ilvl="3" w:tplc="26E8D41A">
      <w:numFmt w:val="decimal"/>
      <w:lvlText w:val=""/>
      <w:lvlJc w:val="left"/>
    </w:lvl>
    <w:lvl w:ilvl="4" w:tplc="997CA368">
      <w:numFmt w:val="decimal"/>
      <w:lvlText w:val=""/>
      <w:lvlJc w:val="left"/>
    </w:lvl>
    <w:lvl w:ilvl="5" w:tplc="6D828D1C">
      <w:numFmt w:val="decimal"/>
      <w:lvlText w:val=""/>
      <w:lvlJc w:val="left"/>
    </w:lvl>
    <w:lvl w:ilvl="6" w:tplc="F5C40206">
      <w:numFmt w:val="decimal"/>
      <w:lvlText w:val=""/>
      <w:lvlJc w:val="left"/>
    </w:lvl>
    <w:lvl w:ilvl="7" w:tplc="0A1657D2">
      <w:numFmt w:val="decimal"/>
      <w:lvlText w:val=""/>
      <w:lvlJc w:val="left"/>
    </w:lvl>
    <w:lvl w:ilvl="8" w:tplc="9FA2A1F8">
      <w:numFmt w:val="decimal"/>
      <w:lvlText w:val=""/>
      <w:lvlJc w:val="left"/>
    </w:lvl>
  </w:abstractNum>
  <w:num w:numId="1" w16cid:durableId="692998855">
    <w:abstractNumId w:val="0"/>
    <w:lvlOverride w:ilvl="0">
      <w:startOverride w:val="1"/>
    </w:lvlOverride>
  </w:num>
  <w:num w:numId="2" w16cid:durableId="192861607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CFF"/>
    <w:rsid w:val="007457CE"/>
    <w:rsid w:val="00874863"/>
    <w:rsid w:val="00AD72DE"/>
    <w:rsid w:val="00B74B2F"/>
    <w:rsid w:val="00BB6B64"/>
    <w:rsid w:val="00C05CFF"/>
    <w:rsid w:val="00E53F49"/>
    <w:rsid w:val="00FE0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CED58"/>
  <w15:docId w15:val="{8D279D9F-2C63-499F-9359-C12EB7DD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Georgia" w:hAnsi="Georgia" w:cs="Georgia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60"/>
      <w:outlineLvl w:val="0"/>
    </w:pPr>
    <w:rPr>
      <w:rFonts w:ascii="Arial" w:eastAsia="Arial" w:hAnsi="Arial" w:cs="Arial"/>
      <w:b/>
      <w:bCs/>
      <w:color w:val="1B3A6B"/>
      <w:sz w:val="40"/>
      <w:szCs w:val="40"/>
    </w:rPr>
  </w:style>
  <w:style w:type="paragraph" w:styleId="Heading2">
    <w:name w:val="heading 2"/>
    <w:uiPriority w:val="9"/>
    <w:semiHidden/>
    <w:unhideWhenUsed/>
    <w:qFormat/>
    <w:pPr>
      <w:spacing w:before="280" w:after="100"/>
      <w:outlineLvl w:val="1"/>
    </w:pPr>
    <w:rPr>
      <w:rFonts w:ascii="Arial" w:eastAsia="Arial" w:hAnsi="Arial" w:cs="Arial"/>
      <w:b/>
      <w:bCs/>
      <w:color w:val="0D6E6E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2865</Words>
  <Characters>16336</Characters>
  <Application>Microsoft Office Word</Application>
  <DocSecurity>0</DocSecurity>
  <Lines>136</Lines>
  <Paragraphs>38</Paragraphs>
  <ScaleCrop>false</ScaleCrop>
  <Company/>
  <LinksUpToDate>false</LinksUpToDate>
  <CharactersWithSpaces>19163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ahmed jadelrab</cp:lastModifiedBy>
  <cp:revision>2</cp:revision>
  <cp:lastPrinted>2026-06-07T16:27:00Z</cp:lastPrinted>
  <dcterms:created xsi:type="dcterms:W3CDTF">2026-08-12T08:34:00Z</dcterms:created>
  <dcterms:modified xsi:type="dcterms:W3CDTF">2026-08-12T08:34:00Z</dcterms:modified>
</cp:coreProperties>
</file>